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480" w:after="0"/>
        <w:jc w:val="center"/>
        <w:rPr>
          <w:rFonts w:ascii="微软雅黑" w:hAnsi="微软雅黑" w:eastAsia="微软雅黑" w:cs="微软雅黑"/>
          <w:b/>
          <w:b/>
          <w:bCs/>
        </w:rPr>
      </w:pPr>
      <w:r>
        <w:rPr>
          <w:rFonts w:ascii="微软雅黑" w:hAnsi="微软雅黑" w:cs="微软雅黑" w:eastAsia="微软雅黑"/>
          <w:b/>
          <w:bCs/>
          <w:color w:val="4F81BD" w:themeColor="accent1"/>
          <w:sz w:val="32"/>
          <w:szCs w:val="32"/>
        </w:rPr>
        <w:t>基于 Magic-Brain 的 In-Context Visual Guidance 实践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模型的语言跟随能力始终是个问题。从大部分失败案例来看，问题不在动作本身，而是无法跟随语言指令。但是我们发现，</w:t>
      </w:r>
      <w:r>
        <w:rPr>
          <w:rFonts w:eastAsia="微软雅黑" w:cs="微软雅黑" w:ascii="微软雅黑" w:hAnsi="微软雅黑"/>
        </w:rPr>
        <w:t>VLA</w:t>
      </w:r>
      <w:r>
        <w:rPr>
          <w:rFonts w:ascii="微软雅黑" w:hAnsi="微软雅黑" w:cs="微软雅黑" w:eastAsia="微软雅黑"/>
        </w:rPr>
        <w:t>对于视觉的跟随能力较强。所以我们在</w:t>
      </w:r>
      <w:r>
        <w:rPr>
          <w:rFonts w:eastAsia="微软雅黑" w:cs="微软雅黑" w:ascii="微软雅黑" w:hAnsi="微软雅黑"/>
        </w:rPr>
        <w:t>Magic-Brain</w:t>
      </w:r>
      <w:r>
        <w:rPr>
          <w:rFonts w:ascii="微软雅黑" w:hAnsi="微软雅黑" w:cs="微软雅黑" w:eastAsia="微软雅黑"/>
        </w:rPr>
        <w:t>中的解法是：使用</w:t>
      </w:r>
      <w:r>
        <w:rPr>
          <w:rFonts w:eastAsia="微软雅黑" w:cs="微软雅黑" w:ascii="微软雅黑" w:hAnsi="微软雅黑"/>
        </w:rPr>
        <w:t>VLA</w:t>
      </w:r>
      <w:r>
        <w:rPr>
          <w:rFonts w:ascii="微软雅黑" w:hAnsi="微软雅黑" w:cs="微软雅黑" w:eastAsia="微软雅黑"/>
        </w:rPr>
        <w:t xml:space="preserve">作为抓取工具，并在它前面加一层视觉引导，让上层的 </w:t>
      </w:r>
      <w:r>
        <w:rPr>
          <w:rFonts w:eastAsia="微软雅黑" w:cs="微软雅黑" w:ascii="微软雅黑" w:hAnsi="微软雅黑"/>
        </w:rPr>
        <w:t xml:space="preserve">VLM Agent </w:t>
      </w:r>
      <w:r>
        <w:rPr>
          <w:rFonts w:ascii="微软雅黑" w:hAnsi="微软雅黑" w:cs="微软雅黑" w:eastAsia="微软雅黑"/>
        </w:rPr>
        <w:t xml:space="preserve">框出目标，再由分割模型把框细化成三色 </w:t>
      </w:r>
      <w:r>
        <w:rPr>
          <w:rFonts w:eastAsia="微软雅黑" w:cs="微软雅黑" w:ascii="微软雅黑" w:hAnsi="微软雅黑"/>
        </w:rPr>
        <w:t>mask</w:t>
      </w:r>
      <w:r>
        <w:rPr>
          <w:rFonts w:ascii="微软雅黑" w:hAnsi="微软雅黑" w:cs="微软雅黑" w:eastAsia="微软雅黑"/>
        </w:rPr>
        <w:t>，再将三色</w:t>
      </w:r>
      <w:r>
        <w:rPr>
          <w:rFonts w:eastAsia="微软雅黑" w:cs="微软雅黑" w:ascii="微软雅黑" w:hAnsi="微软雅黑"/>
        </w:rPr>
        <w:t>mask</w:t>
      </w:r>
      <w:r>
        <w:rPr>
          <w:rFonts w:ascii="微软雅黑" w:hAnsi="微软雅黑" w:cs="微软雅黑" w:eastAsia="微软雅黑"/>
        </w:rPr>
        <w:t>画回观测图像。将语义引导转变为视觉引导，同时</w:t>
      </w:r>
      <w:r>
        <w:rPr>
          <w:rFonts w:eastAsia="微软雅黑" w:cs="微软雅黑" w:ascii="微软雅黑" w:hAnsi="微软雅黑"/>
        </w:rPr>
        <w:t>mask</w:t>
      </w:r>
      <w:r>
        <w:rPr>
          <w:rFonts w:ascii="微软雅黑" w:hAnsi="微软雅黑" w:cs="微软雅黑" w:eastAsia="微软雅黑"/>
        </w:rPr>
        <w:t xml:space="preserve">的颜色包含了时序信息，也提供了一定的记忆增强。在 </w:t>
      </w:r>
      <w:r>
        <w:rPr>
          <w:rFonts w:eastAsia="微软雅黑" w:cs="微软雅黑" w:ascii="微软雅黑" w:hAnsi="微软雅黑"/>
        </w:rPr>
        <w:t xml:space="preserve">MolmoSpaces-Bench </w:t>
      </w:r>
      <w:r>
        <w:rPr>
          <w:rFonts w:ascii="微软雅黑" w:hAnsi="微软雅黑" w:cs="微软雅黑" w:eastAsia="微软雅黑"/>
        </w:rPr>
        <w:t>上，这个改动把</w:t>
      </w:r>
      <w:r>
        <w:rPr>
          <w:rFonts w:eastAsia="微软雅黑" w:cs="微软雅黑" w:ascii="微软雅黑" w:hAnsi="微软雅黑"/>
        </w:rPr>
        <w:t>magicVLA</w:t>
      </w:r>
      <w:r>
        <w:rPr>
          <w:rFonts w:ascii="微软雅黑" w:hAnsi="微软雅黑" w:cs="微软雅黑" w:eastAsia="微软雅黑"/>
        </w:rPr>
        <w:t xml:space="preserve">的抓取成功率从 </w:t>
      </w:r>
      <w:r>
        <w:rPr>
          <w:rFonts w:eastAsia="微软雅黑" w:cs="微软雅黑" w:ascii="微软雅黑" w:hAnsi="微软雅黑"/>
        </w:rPr>
        <w:t xml:space="preserve">70% </w:t>
      </w:r>
      <w:r>
        <w:rPr>
          <w:rFonts w:ascii="微软雅黑" w:hAnsi="微软雅黑" w:cs="微软雅黑" w:eastAsia="微软雅黑"/>
        </w:rPr>
        <w:t xml:space="preserve">推到了 </w:t>
      </w:r>
      <w:r>
        <w:rPr>
          <w:rFonts w:eastAsia="微软雅黑" w:cs="微软雅黑" w:ascii="微软雅黑" w:hAnsi="微软雅黑"/>
        </w:rPr>
        <w:t>94.4%</w:t>
      </w:r>
      <w:r>
        <w:rPr>
          <w:rFonts w:ascii="微软雅黑" w:hAnsi="微软雅黑" w:cs="微软雅黑" w:eastAsia="微软雅黑"/>
        </w:rPr>
        <w:t>。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这篇</w:t>
      </w:r>
      <w:bookmarkStart w:id="1" w:name="_GoBack"/>
      <w:bookmarkEnd w:id="1"/>
      <w:r>
        <w:rPr>
          <w:rFonts w:ascii="微软雅黑" w:hAnsi="微软雅黑" w:cs="微软雅黑" w:eastAsia="微软雅黑"/>
        </w:rPr>
        <w:t xml:space="preserve">文章会介绍我们为什么这么做、具体怎么做，以及这套设计跑在 </w:t>
      </w:r>
      <w:r>
        <w:rPr>
          <w:rFonts w:eastAsia="微软雅黑" w:cs="微软雅黑" w:ascii="微软雅黑" w:hAnsi="微软雅黑"/>
        </w:rPr>
        <w:t xml:space="preserve">Magic-Brain </w:t>
      </w:r>
      <w:r>
        <w:rPr>
          <w:rFonts w:ascii="微软雅黑" w:hAnsi="微软雅黑" w:cs="微软雅黑" w:eastAsia="微软雅黑"/>
        </w:rPr>
        <w:t>框架的哪个位置。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2"/>
        <w:numPr>
          <w:ilvl w:val="0"/>
          <w:numId w:val="1"/>
        </w:numPr>
        <w:rPr>
          <w:rFonts w:ascii="微软雅黑" w:hAnsi="微软雅黑" w:eastAsia="微软雅黑" w:cs="微软雅黑"/>
        </w:rPr>
      </w:pPr>
      <w:bookmarkStart w:id="2" w:name="视觉引导让-vla-看见该抓什么"/>
      <w:r>
        <w:rPr>
          <w:rFonts w:ascii="微软雅黑" w:hAnsi="微软雅黑" w:cs="微软雅黑" w:eastAsia="微软雅黑"/>
        </w:rPr>
        <w:t xml:space="preserve">视觉引导：让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看见该抓什么</w:t>
      </w:r>
    </w:p>
    <w:p>
      <w:pPr>
        <w:pStyle w:val="3"/>
        <w:rPr>
          <w:rFonts w:ascii="微软雅黑" w:hAnsi="微软雅黑" w:eastAsia="微软雅黑" w:cs="微软雅黑"/>
        </w:rPr>
      </w:pPr>
      <w:bookmarkStart w:id="3" w:name="为什么语言指令不够"/>
      <w:r>
        <w:rPr>
          <w:rFonts w:eastAsia="微软雅黑" w:cs="微软雅黑" w:ascii="微软雅黑" w:hAnsi="微软雅黑"/>
          <w:lang w:val="en-US" w:eastAsia="zh-CN"/>
        </w:rPr>
        <w:t xml:space="preserve">1.1. </w:t>
      </w:r>
      <w:r>
        <w:rPr>
          <w:rFonts w:ascii="微软雅黑" w:hAnsi="微软雅黑" w:cs="微软雅黑" w:eastAsia="微软雅黑"/>
        </w:rPr>
        <w:t>为什么语言指令不够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纯语言指令让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做两件对于其比较困难的任务：先理解”苹果”这个词，再在像素里找出哪个是苹果。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在动作学习上已经很强，但把名词短语绑定到图像区域，是它训练信号最稀疏的一环。我们的失败统计印证了这点：抓失败的案例里，绝大多数不是抓不稳，而是抓错对象或者放错位置。</w:t>
      </w:r>
    </w:p>
    <w:p>
      <w:pPr>
        <w:pStyle w:val="Style14"/>
        <w:rPr>
          <w:rFonts w:ascii="微软雅黑" w:hAnsi="微软雅黑" w:eastAsia="微软雅黑" w:cs="微软雅黑"/>
          <w:b w:val="false"/>
          <w:b w:val="false"/>
          <w:i w:val="false"/>
          <w:i w:val="false"/>
          <w:caps w:val="false"/>
          <w:smallCaps w:val="false"/>
          <w:spacing w:val="0"/>
          <w:sz w:val="24"/>
        </w:rPr>
      </w:pPr>
      <w:r>
        <w:rPr>
          <w:rFonts w:eastAsia="微软雅黑" w:cs="微软雅黑" w:ascii="微软雅黑" w:hAnsi="微软雅黑"/>
        </w:rPr>
        <w:t xml:space="preserve">In-Context VLA </w:t>
      </w:r>
      <w:r>
        <w:rPr>
          <w:rFonts w:ascii="微软雅黑" w:hAnsi="微软雅黑" w:cs="微软雅黑" w:eastAsia="微软雅黑"/>
        </w:rPr>
        <w:t xml:space="preserve">的工作给了更系统的证据：让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自由生成文本推理（</w:t>
      </w:r>
      <w:r>
        <w:rPr>
          <w:rFonts w:eastAsia="微软雅黑" w:cs="微软雅黑" w:ascii="微软雅黑" w:hAnsi="微软雅黑"/>
        </w:rPr>
        <w:t>CoT</w:t>
      </w:r>
      <w:r>
        <w:rPr>
          <w:rFonts w:ascii="微软雅黑" w:hAnsi="微软雅黑" w:cs="微软雅黑" w:eastAsia="微软雅黑"/>
        </w:rPr>
        <w:t>）反而会损害低层控制</w:t>
      </w:r>
      <w:bookmarkEnd w:id="3"/>
      <w:r>
        <w:rPr>
          <w:rFonts w:ascii="微软雅黑" w:hAnsi="微软雅黑" w:cs="微软雅黑" w:eastAsia="微软雅黑"/>
        </w:rPr>
        <w:t>。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原因很具体：模型写出来的理由和画面里的物体对不上号（缺少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grounding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），生成文本的延迟打断了控制闭环，训练目标一冲突，策略就学会了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解说动作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而不是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做好动作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。他们的结论是，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缺的不是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说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的能力，而是直接拿到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目标在哪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这类现成信息的能力。这和我们的判断一致：与其等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自己学会从文字里找物体，不如换个分工——找目标交给擅长看图的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VLM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，做动作交给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VLA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。差别在于，我们把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目标在哪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直接画进观测图像，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看图就拿到了答案，连读文字这一步都省了。</w:t>
      </w:r>
    </w:p>
    <w:p>
      <w:pPr>
        <w:pStyle w:val="Style14"/>
        <w:rPr>
          <w:rFonts w:ascii="微软雅黑" w:hAnsi="微软雅黑" w:eastAsia="微软雅黑" w:cs="微软雅黑"/>
          <w:b w:val="false"/>
          <w:b w:val="false"/>
          <w:i w:val="false"/>
          <w:i w:val="false"/>
          <w:caps w:val="false"/>
          <w:smallCaps w:val="false"/>
          <w:spacing w:val="0"/>
          <w:sz w:val="24"/>
        </w:rPr>
      </w:pP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</w:r>
    </w:p>
    <w:p>
      <w:pPr>
        <w:pStyle w:val="3"/>
        <w:rPr>
          <w:rFonts w:ascii="微软雅黑" w:hAnsi="微软雅黑" w:eastAsia="微软雅黑" w:cs="微软雅黑"/>
        </w:rPr>
      </w:pPr>
      <w:bookmarkStart w:id="4" w:name="agent-出-bboxcv-模型出-mask"/>
      <w:bookmarkEnd w:id="4"/>
      <w:r>
        <w:rPr>
          <w:rFonts w:eastAsia="微软雅黑" w:cs="微软雅黑" w:ascii="微软雅黑" w:hAnsi="微软雅黑"/>
          <w:lang w:val="en-US" w:eastAsia="zh-CN"/>
        </w:rPr>
        <w:t xml:space="preserve">1.2. </w:t>
      </w:r>
      <w:r>
        <w:rPr>
          <w:rFonts w:eastAsia="微软雅黑" w:cs="微软雅黑" w:ascii="微软雅黑" w:hAnsi="微软雅黑"/>
        </w:rPr>
        <w:t xml:space="preserve">Agent </w:t>
      </w:r>
      <w:r>
        <w:rPr>
          <w:rFonts w:ascii="微软雅黑" w:hAnsi="微软雅黑" w:cs="微软雅黑" w:eastAsia="微软雅黑"/>
        </w:rPr>
        <w:t xml:space="preserve">出 </w:t>
      </w:r>
      <w:r>
        <w:rPr>
          <w:rFonts w:eastAsia="微软雅黑" w:cs="微软雅黑" w:ascii="微软雅黑" w:hAnsi="微软雅黑"/>
        </w:rPr>
        <w:t>bbox</w:t>
      </w:r>
      <w:r>
        <w:rPr>
          <w:rFonts w:ascii="微软雅黑" w:hAnsi="微软雅黑" w:cs="微软雅黑" w:eastAsia="微软雅黑"/>
        </w:rPr>
        <w:t>，</w:t>
      </w:r>
      <w:r>
        <w:rPr>
          <w:rFonts w:eastAsia="微软雅黑" w:cs="微软雅黑" w:ascii="微软雅黑" w:hAnsi="微软雅黑"/>
        </w:rPr>
        <w:t xml:space="preserve">CV </w:t>
      </w:r>
      <w:r>
        <w:rPr>
          <w:rFonts w:ascii="微软雅黑" w:hAnsi="微软雅黑" w:cs="微软雅黑" w:eastAsia="微软雅黑"/>
        </w:rPr>
        <w:t xml:space="preserve">模型出 </w:t>
      </w:r>
      <w:r>
        <w:rPr>
          <w:rFonts w:eastAsia="微软雅黑" w:cs="微软雅黑" w:ascii="微软雅黑" w:hAnsi="微软雅黑"/>
        </w:rPr>
        <w:t>mask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管线是两段式。第一段，上层 </w:t>
      </w:r>
      <w:r>
        <w:rPr>
          <w:rFonts w:eastAsia="微软雅黑" w:cs="微软雅黑" w:ascii="微软雅黑" w:hAnsi="微软雅黑"/>
        </w:rPr>
        <w:t xml:space="preserve">VLM Agent </w:t>
      </w:r>
      <w:r>
        <w:rPr>
          <w:rFonts w:ascii="微软雅黑" w:hAnsi="微软雅黑" w:cs="微软雅黑" w:eastAsia="微软雅黑"/>
        </w:rPr>
        <w:t xml:space="preserve">读取当前观测图像和任务描述，靠 </w:t>
      </w:r>
      <w:r>
        <w:rPr>
          <w:rFonts w:eastAsia="微软雅黑" w:cs="微软雅黑" w:ascii="微软雅黑" w:hAnsi="微软雅黑"/>
        </w:rPr>
        <w:t xml:space="preserve">in-context learning </w:t>
      </w:r>
      <w:r>
        <w:rPr>
          <w:rFonts w:ascii="微软雅黑" w:hAnsi="微软雅黑" w:cs="微软雅黑" w:eastAsia="微软雅黑"/>
        </w:rPr>
        <w:t xml:space="preserve">输出目标物体的 </w:t>
      </w:r>
      <w:r>
        <w:rPr>
          <w:rFonts w:eastAsia="微软雅黑" w:cs="微软雅黑" w:ascii="微软雅黑" w:hAnsi="微软雅黑"/>
        </w:rPr>
        <w:t>bbox</w:t>
      </w:r>
      <w:r>
        <w:rPr>
          <w:rFonts w:ascii="微软雅黑" w:hAnsi="微软雅黑" w:cs="微软雅黑" w:eastAsia="微软雅黑"/>
        </w:rPr>
        <w:t>：</w:t>
      </w:r>
      <w:r>
        <w:rPr>
          <w:rFonts w:eastAsia="微软雅黑" w:cs="微软雅黑" w:ascii="微软雅黑" w:hAnsi="微软雅黑"/>
        </w:rPr>
        <w:t xml:space="preserve">prompt </w:t>
      </w:r>
      <w:r>
        <w:rPr>
          <w:rFonts w:ascii="微软雅黑" w:hAnsi="微软雅黑" w:cs="微软雅黑" w:eastAsia="微软雅黑"/>
        </w:rPr>
        <w:t>里放几个</w:t>
      </w:r>
      <w:r>
        <w:rPr>
          <w:rFonts w:eastAsia="微软雅黑" w:cs="微软雅黑" w:ascii="微软雅黑" w:hAnsi="微软雅黑"/>
        </w:rPr>
        <w:t>Few-shot</w:t>
      </w:r>
      <w:r>
        <w:rPr>
          <w:rFonts w:ascii="微软雅黑" w:hAnsi="微软雅黑" w:cs="微软雅黑" w:eastAsia="微软雅黑"/>
        </w:rPr>
        <w:t>示例，不做任何微调。第二段，</w:t>
      </w:r>
      <w:r>
        <w:rPr>
          <w:rFonts w:eastAsia="微软雅黑" w:cs="微软雅黑" w:ascii="微软雅黑" w:hAnsi="微软雅黑"/>
        </w:rPr>
        <w:t xml:space="preserve">bbox </w:t>
      </w:r>
      <w:r>
        <w:rPr>
          <w:rFonts w:ascii="微软雅黑" w:hAnsi="微软雅黑" w:cs="微软雅黑" w:eastAsia="微软雅黑"/>
        </w:rPr>
        <w:t xml:space="preserve">交给下游的 </w:t>
      </w:r>
      <w:r>
        <w:rPr>
          <w:rFonts w:eastAsia="微软雅黑" w:cs="微软雅黑" w:ascii="微软雅黑" w:hAnsi="微软雅黑"/>
        </w:rPr>
        <w:t xml:space="preserve">SAM </w:t>
      </w:r>
      <w:r>
        <w:rPr>
          <w:rFonts w:ascii="微软雅黑" w:hAnsi="微软雅黑" w:cs="微软雅黑" w:eastAsia="微软雅黑"/>
        </w:rPr>
        <w:t xml:space="preserve">类分割模型，把粗糙的矩形细化成像素级 </w:t>
      </w:r>
      <w:r>
        <w:rPr>
          <w:rFonts w:eastAsia="微软雅黑" w:cs="微软雅黑" w:ascii="微软雅黑" w:hAnsi="微软雅黑"/>
        </w:rPr>
        <w:t>mask</w:t>
      </w:r>
      <w:r>
        <w:rPr>
          <w:rFonts w:ascii="微软雅黑" w:hAnsi="微软雅黑" w:cs="微软雅黑" w:eastAsia="微软雅黑"/>
        </w:rPr>
        <w:t>。</w:t>
      </w:r>
    </w:p>
    <w:p>
      <w:pPr>
        <w:pStyle w:val="CaptionedFigure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2788920"/>
            <wp:effectExtent l="0" t="0" r="0" b="0"/>
            <wp:wrapSquare wrapText="largest"/>
            <wp:docPr id="1" name="图像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像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sz w:val="15"/>
          <w:szCs w:val="15"/>
        </w:rPr>
      </w:pP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>视觉引导管线</w:t>
      </w:r>
    </w:p>
    <w:p>
      <w:pPr>
        <w:pStyle w:val="Style14"/>
        <w:rPr>
          <w:rFonts w:ascii="微软雅黑" w:hAnsi="微软雅黑" w:eastAsia="微软雅黑" w:cs="微软雅黑"/>
          <w:i/>
          <w:i/>
          <w:iCs w:val="false"/>
          <w:sz w:val="15"/>
          <w:szCs w:val="15"/>
        </w:rPr>
      </w:pP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 xml:space="preserve">图 </w:t>
      </w:r>
      <w:r>
        <w:rPr>
          <w:rFonts w:eastAsia="微软雅黑" w:cs="微软雅黑" w:ascii="微软雅黑" w:hAnsi="微软雅黑"/>
          <w:i/>
          <w:iCs w:val="false"/>
          <w:sz w:val="15"/>
          <w:szCs w:val="15"/>
        </w:rPr>
        <w:t xml:space="preserve">1 · </w:t>
      </w: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 xml:space="preserve">视觉引导管线：环境观测 → </w:t>
      </w:r>
      <w:r>
        <w:rPr>
          <w:rFonts w:eastAsia="微软雅黑" w:cs="微软雅黑" w:ascii="微软雅黑" w:hAnsi="微软雅黑"/>
          <w:i/>
          <w:iCs w:val="false"/>
          <w:sz w:val="15"/>
          <w:szCs w:val="15"/>
        </w:rPr>
        <w:t xml:space="preserve">Agent ICL </w:t>
      </w: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 xml:space="preserve">输出 </w:t>
      </w:r>
      <w:r>
        <w:rPr>
          <w:rFonts w:eastAsia="微软雅黑" w:cs="微软雅黑" w:ascii="微软雅黑" w:hAnsi="微软雅黑"/>
          <w:i/>
          <w:iCs w:val="false"/>
          <w:sz w:val="15"/>
          <w:szCs w:val="15"/>
        </w:rPr>
        <w:t xml:space="preserve">bbox → CV </w:t>
      </w: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 xml:space="preserve">分割模型输出 </w:t>
      </w:r>
      <w:r>
        <w:rPr>
          <w:rFonts w:eastAsia="微软雅黑" w:cs="微软雅黑" w:ascii="微软雅黑" w:hAnsi="微软雅黑"/>
          <w:i/>
          <w:iCs w:val="false"/>
          <w:sz w:val="15"/>
          <w:szCs w:val="15"/>
        </w:rPr>
        <w:t xml:space="preserve">mask → </w:t>
      </w:r>
      <w:r>
        <w:rPr>
          <w:rFonts w:ascii="微软雅黑" w:hAnsi="微软雅黑" w:cs="微软雅黑" w:eastAsia="微软雅黑"/>
          <w:i/>
          <w:iCs w:val="false"/>
          <w:sz w:val="15"/>
          <w:szCs w:val="15"/>
        </w:rPr>
        <w:t xml:space="preserve">三色合成 → 引导帧送入 </w:t>
      </w:r>
      <w:r>
        <w:rPr>
          <w:rFonts w:eastAsia="微软雅黑" w:cs="微软雅黑" w:ascii="微软雅黑" w:hAnsi="微软雅黑"/>
          <w:i/>
          <w:iCs w:val="false"/>
          <w:sz w:val="15"/>
          <w:szCs w:val="15"/>
        </w:rPr>
        <w:t>magicVLA</w:t>
      </w:r>
    </w:p>
    <w:p>
      <w:pPr>
        <w:pStyle w:val="Style14"/>
        <w:rPr>
          <w:rFonts w:ascii="微软雅黑" w:hAnsi="微软雅黑" w:eastAsia="微软雅黑" w:cs="微软雅黑"/>
          <w:b w:val="false"/>
          <w:b w:val="false"/>
          <w:i w:val="false"/>
          <w:i w:val="false"/>
          <w:caps w:val="false"/>
          <w:smallCaps w:val="false"/>
          <w:spacing w:val="0"/>
          <w:sz w:val="24"/>
        </w:rPr>
      </w:pP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</w:r>
      <w:bookmarkStart w:id="5" w:name="agent-出-bboxcv-模型出-mask1"/>
      <w:bookmarkStart w:id="6" w:name="agent-出-bboxcv-模型出-mask1"/>
      <w:bookmarkEnd w:id="6"/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为什么选择该方案？原因有二。其一，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把视觉标记叠加在图像上，作为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的输入接口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这条路线已被验证：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VP-VLA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让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System 2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的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VLM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规划器把目标位置和放置区域以准星、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bbox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的形式叠加到观测图像上，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System 1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控制器则利用这些视觉提示，在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Robocasa-GR1-Tabletop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和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SimplerEnv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上分别带来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5%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和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8.3%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的提升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¹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。其二，上下文学习（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in-context learning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）在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场景中的有效性也已得到证实：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Retrieval-VLA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通过检索增强配合上下文学习，让预训练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VLA </w:t>
      </w:r>
      <w:r>
        <w:rPr>
          <w:rFonts w:ascii="微软雅黑" w:hAnsi="微软雅黑" w:cs="微软雅黑" w:eastAsia="微软雅黑"/>
          <w:caps w:val="false"/>
          <w:smallCaps w:val="false"/>
          <w:spacing w:val="0"/>
        </w:rPr>
        <w:t>无需微调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即可适配新任务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²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。从工程角度看，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bbox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还是一个清晰的契约式接口：上游可以换更强的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VLM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，下游可以换更强的分割模型，彼此无需感知对方的存在——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VP-VLA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的实现同样采用了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"VLM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 xml:space="preserve">出框 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 xml:space="preserve">+ 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分割模型细化</w:t>
      </w:r>
      <w:r>
        <w:rPr>
          <w:rFonts w:eastAsia="微软雅黑" w:cs="微软雅黑" w:ascii="微软雅黑" w:hAnsi="微软雅黑"/>
          <w:b w:val="false"/>
          <w:i w:val="false"/>
          <w:caps w:val="false"/>
          <w:smallCaps w:val="false"/>
          <w:spacing w:val="0"/>
          <w:sz w:val="24"/>
        </w:rPr>
        <w:t>"</w:t>
      </w:r>
      <w:r>
        <w:rPr>
          <w:rFonts w:ascii="微软雅黑" w:hAnsi="微软雅黑" w:cs="微软雅黑" w:eastAsia="微软雅黑"/>
          <w:b w:val="false"/>
          <w:i w:val="false"/>
          <w:caps w:val="false"/>
          <w:smallCaps w:val="false"/>
          <w:spacing w:val="0"/>
          <w:sz w:val="24"/>
        </w:rPr>
        <w:t>的组合。</w:t>
      </w:r>
    </w:p>
    <w:p>
      <w:pPr>
        <w:pStyle w:val="3"/>
        <w:rPr>
          <w:rFonts w:ascii="微软雅黑" w:hAnsi="微软雅黑" w:eastAsia="微软雅黑" w:cs="微软雅黑"/>
          <w:lang w:val="en-US" w:eastAsia="zh-CN"/>
        </w:rPr>
      </w:pPr>
      <w:r>
        <w:rPr>
          <w:rFonts w:eastAsia="微软雅黑" w:cs="微软雅黑" w:ascii="微软雅黑" w:hAnsi="微软雅黑"/>
          <w:lang w:val="en-US" w:eastAsia="zh-CN"/>
        </w:rPr>
      </w:r>
    </w:p>
    <w:p>
      <w:pPr>
        <w:pStyle w:val="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  <w:lang w:val="en-US" w:eastAsia="zh-CN"/>
        </w:rPr>
        <w:t xml:space="preserve">1.3. </w:t>
      </w:r>
      <w:r>
        <w:rPr>
          <w:rFonts w:ascii="微软雅黑" w:hAnsi="微软雅黑" w:cs="微软雅黑" w:eastAsia="微软雅黑"/>
        </w:rPr>
        <w:t xml:space="preserve">三色 </w:t>
      </w:r>
      <w:r>
        <w:rPr>
          <w:rFonts w:eastAsia="微软雅黑" w:cs="微软雅黑" w:ascii="微软雅黑" w:hAnsi="微软雅黑"/>
        </w:rPr>
        <w:t xml:space="preserve">mask </w:t>
      </w:r>
      <w:r>
        <w:rPr>
          <w:rFonts w:ascii="微软雅黑" w:hAnsi="微软雅黑" w:cs="微软雅黑" w:eastAsia="微软雅黑"/>
        </w:rPr>
        <w:t>的语义设计</w:t>
      </w:r>
      <w:bookmarkStart w:id="7" w:name="三色-mask-的语义设计"/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分割得到的 </w:t>
      </w:r>
      <w:r>
        <w:rPr>
          <w:rFonts w:eastAsia="微软雅黑" w:cs="微软雅黑" w:ascii="微软雅黑" w:hAnsi="微软雅黑"/>
        </w:rPr>
        <w:t xml:space="preserve">mask </w:t>
      </w:r>
      <w:r>
        <w:rPr>
          <w:rFonts w:ascii="微软雅黑" w:hAnsi="微软雅黑" w:cs="微软雅黑" w:eastAsia="微软雅黑"/>
        </w:rPr>
        <w:t xml:space="preserve">不会以原始形式交给 </w:t>
      </w:r>
      <w:r>
        <w:rPr>
          <w:rFonts w:eastAsia="微软雅黑" w:cs="微软雅黑" w:ascii="微软雅黑" w:hAnsi="微软雅黑"/>
        </w:rPr>
        <w:t>VLA</w:t>
      </w:r>
      <w:r>
        <w:rPr>
          <w:rFonts w:ascii="微软雅黑" w:hAnsi="微软雅黑" w:cs="微软雅黑" w:eastAsia="微软雅黑"/>
        </w:rPr>
        <w:t>，而是按语义染成三种颜色，画到观测图像上</w:t>
      </w:r>
      <w:r>
        <w:rPr>
          <w:rFonts w:ascii="微软雅黑" w:hAnsi="微软雅黑" w:cs="微软雅黑" w:eastAsia="微软雅黑"/>
          <w:color w:val="auto"/>
          <w:kern w:val="0"/>
          <w:sz w:val="24"/>
          <w:szCs w:val="24"/>
          <w:lang w:val="en-US" w:eastAsia="en-US" w:bidi="ar-SA"/>
        </w:rPr>
        <w:t>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2221865"/>
            <wp:effectExtent l="0" t="0" r="0" b="0"/>
            <wp:wrapSquare wrapText="largest"/>
            <wp:docPr id="2" name="图像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218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在我们的桌面场景实验中，高饱和度且与场景本色混淆较低的颜色更容易形成稳定的视觉提示，因此最终选用了绿色、黄色与银白色。每种颜色只承担一种语义，VLA 不需要理解颜色组合。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三色语义要生效，前提是 VLA 真的读得懂这些颜色。我们没有指望预训练模型自己领悟，而是对 magicVLA 做了基于 mask 的后训练：在带三色引导帧的演示数据上继续训练，把“绿色去抓、银白去放、黄色表示历史轨迹”这组语义固化进策略权重。这和 VP-VLA 训练时加入辅助视觉 grounding 目标、让策略学会利用视觉提示是同一个思路。视觉引导提供像素级 prompt，后训练保证模型读得懂这个 prompt，两者构成同一设计的两个部分。²</w:t>
      </w:r>
    </w:p>
    <w:p>
      <w:pPr>
        <w:pStyle w:val="3"/>
        <w:rPr>
          <w:rFonts w:ascii="微软雅黑" w:hAnsi="微软雅黑" w:eastAsia="微软雅黑" w:cs="微软雅黑"/>
          <w:lang w:val="en-US" w:eastAsia="zh-CN"/>
        </w:rPr>
      </w:pPr>
      <w:r>
        <w:rPr>
          <w:rFonts w:eastAsia="微软雅黑" w:cs="微软雅黑" w:ascii="微软雅黑" w:hAnsi="微软雅黑"/>
          <w:lang w:val="en-US" w:eastAsia="zh-CN"/>
        </w:rPr>
      </w:r>
      <w:bookmarkStart w:id="8" w:name="时序信息的像素化"/>
      <w:bookmarkStart w:id="9" w:name="时序信息的像素化"/>
    </w:p>
    <w:p>
      <w:pPr>
        <w:pStyle w:val="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  <w:lang w:val="en-US" w:eastAsia="zh-CN"/>
        </w:rPr>
        <w:t xml:space="preserve">1.4. </w:t>
      </w:r>
      <w:r>
        <w:rPr>
          <w:rFonts w:ascii="微软雅黑" w:hAnsi="微软雅黑" w:cs="微软雅黑" w:eastAsia="微软雅黑"/>
        </w:rPr>
        <w:t>时序信息的像素化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绿色轨迹替代了原本语义</w:t>
      </w:r>
      <w:r>
        <w:rPr>
          <w:rFonts w:eastAsia="微软雅黑" w:cs="微软雅黑" w:ascii="微软雅黑" w:hAnsi="微软雅黑"/>
        </w:rPr>
        <w:t>instruct</w:t>
      </w:r>
      <w:r>
        <w:rPr>
          <w:rFonts w:ascii="微软雅黑" w:hAnsi="微软雅黑" w:cs="微软雅黑" w:eastAsia="微软雅黑"/>
        </w:rPr>
        <w:t>的物品识别的功能。将需要抓取的物品直接置于视觉中，省去了</w:t>
      </w:r>
      <w:r>
        <w:rPr>
          <w:rFonts w:eastAsia="微软雅黑" w:cs="微软雅黑" w:ascii="微软雅黑" w:hAnsi="微软雅黑"/>
        </w:rPr>
        <w:t>instruct</w:t>
      </w:r>
      <w:r>
        <w:rPr>
          <w:rFonts w:ascii="微软雅黑" w:hAnsi="微软雅黑" w:cs="微软雅黑" w:eastAsia="微软雅黑"/>
        </w:rPr>
        <w:t>到物品像素的对齐。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银白色轨迹替代了原本语义对于移动地点的识别。将需要放置的位置置于视觉中，省去了</w:t>
      </w:r>
      <w:r>
        <w:rPr>
          <w:rFonts w:eastAsia="微软雅黑" w:cs="微软雅黑" w:ascii="微软雅黑" w:hAnsi="微软雅黑"/>
        </w:rPr>
        <w:t>VLA</w:t>
      </w:r>
      <w:r>
        <w:rPr>
          <w:rFonts w:ascii="微软雅黑" w:hAnsi="微软雅黑" w:cs="微软雅黑" w:eastAsia="微软雅黑"/>
        </w:rPr>
        <w:t>对于触达位置的理解对齐。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黄色轨迹则增加了</w:t>
      </w:r>
      <w:r>
        <w:rPr>
          <w:rFonts w:eastAsia="微软雅黑" w:cs="微软雅黑" w:ascii="微软雅黑" w:hAnsi="微软雅黑"/>
        </w:rPr>
        <w:t>VLA</w:t>
      </w:r>
      <w:r>
        <w:rPr>
          <w:rFonts w:ascii="微软雅黑" w:hAnsi="微软雅黑" w:cs="微软雅黑" w:eastAsia="微软雅黑"/>
        </w:rPr>
        <w:t>对于运动中的判断，和额外的短期记忆能力。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策略通常只看单帧或很短的时间窗口，没有显式记忆，“物体刚才在哪、动了没有”对它不可见。我们把过去几帧的物体位置和末端执行器轨迹画进当前帧，旧轨迹随时间衰减变淡。时序信息被编码成了空间信息，历史变成了像素。</w:t>
      </w:r>
    </w:p>
    <w:p>
      <w:pPr>
        <w:pStyle w:val="CaptionedFigure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drawing>
          <wp:anchor behindDoc="0" distT="0" distB="0" distL="0" distR="0" simplePos="0" locked="0" layoutInCell="0" allowOverlap="1" relativeHeight="3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2164715"/>
            <wp:effectExtent l="0" t="0" r="0" b="0"/>
            <wp:wrapSquare wrapText="largest"/>
            <wp:docPr id="3" name="图像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三色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mask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可视化</w:t>
      </w:r>
    </w:p>
    <w:p>
      <w:pPr>
        <w:pStyle w:val="Style14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图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2 ·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三色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mask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合成示例：绿色为当前交互目标，黄色为随时间衰减的历史轨迹，银白色为放置区域</w:t>
      </w:r>
      <w:bookmarkEnd w:id="9"/>
    </w:p>
    <w:p>
      <w:pPr>
        <w:pStyle w:val="Style14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</w:r>
    </w:p>
    <w:p>
      <w:pPr>
        <w:pStyle w:val="Style14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</w:r>
    </w:p>
    <w:p>
      <w:pPr>
        <w:pStyle w:val="2"/>
        <w:numPr>
          <w:ilvl w:val="0"/>
          <w:numId w:val="1"/>
        </w:numPr>
        <w:bidi w:val="0"/>
        <w:spacing w:before="200" w:after="283"/>
        <w:ind w:left="0" w:hanging="0"/>
        <w:rPr>
          <w:rFonts w:ascii="微软雅黑" w:hAnsi="微软雅黑" w:eastAsia="微软雅黑" w:cs="微软雅黑"/>
          <w:b/>
          <w:b/>
          <w:bCs/>
        </w:rPr>
      </w:pPr>
      <w:r>
        <w:rPr>
          <w:rFonts w:eastAsia="微软雅黑" w:cs="微软雅黑" w:ascii="微软雅黑" w:hAnsi="微软雅黑"/>
          <w:b/>
          <w:bCs/>
          <w:caps w:val="false"/>
          <w:smallCaps w:val="false"/>
          <w:spacing w:val="0"/>
        </w:rPr>
        <w:t>VLA 后训练：赋予模型视觉引导跟随能力</w:t>
      </w:r>
    </w:p>
    <w:p>
      <w:pPr>
        <w:pStyle w:val="3"/>
        <w:numPr>
          <w:ilvl w:val="1"/>
          <w:numId w:val="1"/>
        </w:numPr>
        <w:bidi w:val="0"/>
        <w:spacing w:before="200" w:after="283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动机与设计目标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在三色 mask 的语义设计确定之后，三色通道与语义类别之间的映射关系即告冻结，成为后续数据生产与模型训练所依赖的固定“视觉协议”。此时剩余的核心问题是：如何让 VLA 模型理解并消费这套视觉协议——即在观测到叠加有三色 mask 的图像时，策略能够将各色通道解析为对应的语义信息（绿色：当前交互/抓取目标；银白色：目标放置区域；黄色：历史轨迹与时序信息），并生成与该视觉引导一致的动作序列。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需要强调的是，我们选择不修改 VLA 的网络结构，而是将 mask 语义完全编码在输入观测之中，通过数据侧的后训练让模型建立“颜色通道 → 语义信息 → 动作分布”的条件化映射。这样做的收益有三点：其一，mask 协议与模型架构解耦，后续调整语义设计时无需改动模型结构；其二，后训练在预训练 VLA 的通用操作能力之上增量进行，并通过混合原始数据尽可能降低其原有语言指令跟随能力的退化；其三，视觉引导与语言引导共用同一策略网络，两者可以自然组合——语言指定任务语义，mask 提供目标、放置区域与时序信息。</w:t>
      </w:r>
    </w:p>
    <w:p>
      <w:pPr>
        <w:pStyle w:val="3"/>
        <w:bidi w:val="0"/>
        <w:spacing w:before="200" w:after="28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3"/>
        <w:numPr>
          <w:ilvl w:val="1"/>
          <w:numId w:val="1"/>
        </w:numPr>
        <w:bidi w:val="0"/>
        <w:spacing w:before="200" w:after="283"/>
        <w:ind w:left="0" w:hanging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视觉引导数据生产（</w:t>
      </w:r>
      <w:r>
        <w:rPr>
          <w:rFonts w:eastAsia="微软雅黑" w:cs="微软雅黑" w:ascii="微软雅黑" w:hAnsi="微软雅黑"/>
        </w:rPr>
        <w:t>Mixed Data Pipeline</w:t>
      </w:r>
      <w:r>
        <w:rPr>
          <w:rFonts w:ascii="微软雅黑" w:hAnsi="微软雅黑" w:cs="微软雅黑" w:eastAsia="微软雅黑"/>
        </w:rPr>
        <w:t>）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基于上述协议，我们使用 </w:t>
      </w:r>
      <w:r>
        <w:rPr>
          <w:rFonts w:eastAsia="微软雅黑" w:cs="微软雅黑" w:ascii="微软雅黑" w:hAnsi="微软雅黑"/>
        </w:rPr>
        <w:t xml:space="preserve">mixed </w:t>
      </w:r>
      <w:r>
        <w:rPr>
          <w:rFonts w:ascii="微软雅黑" w:hAnsi="微软雅黑" w:cs="微软雅黑" w:eastAsia="微软雅黑"/>
        </w:rPr>
        <w:t>数据生产管线，在既有演示数据的基础上合成了一批带视觉引导的训练数据。具体流程如下：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（1）轨迹回放与 mask 合成。对既有真机/仿真演示轨迹逐帧回放，依据三色 mask 的语义设计，将对应的 mask 图案合成到各视角观测帧上：当前交互/抓取目标以绿色渲染，目标放置区域以银白色渲染，历史轨迹与时序信息以黄色渲染。经相机内外参投影后与原始 RGB 对齐，保证 mask 的空间位置与场景几何严格一致。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（</w:t>
      </w:r>
      <w:r>
        <w:rPr>
          <w:rStyle w:val="Style10"/>
          <w:rFonts w:eastAsia="微软雅黑" w:cs="微软雅黑" w:ascii="微软雅黑" w:hAnsi="微软雅黑"/>
          <w:b/>
        </w:rPr>
        <w:t>2</w:t>
      </w:r>
      <w:r>
        <w:rPr>
          <w:rStyle w:val="Style10"/>
          <w:rFonts w:ascii="微软雅黑" w:hAnsi="微软雅黑" w:cs="微软雅黑" w:eastAsia="微软雅黑"/>
          <w:b/>
        </w:rPr>
        <w:t>）多源混合。</w:t>
      </w:r>
      <w:r>
        <w:rPr>
          <w:rFonts w:ascii="微软雅黑" w:hAnsi="微软雅黑" w:cs="微软雅黑" w:eastAsia="微软雅黑"/>
        </w:rPr>
        <w:t xml:space="preserve"> 合成数据与原始数据按比例混合，形成最终的混合数据集：</w:t>
      </w:r>
    </w:p>
    <w:p>
      <w:pPr>
        <w:pStyle w:val="Style14"/>
        <w:numPr>
          <w:ilvl w:val="0"/>
          <w:numId w:val="13"/>
        </w:numPr>
        <w:tabs>
          <w:tab w:val="clear" w:pos="720"/>
          <w:tab w:val="left" w:pos="0" w:leader="none"/>
        </w:tabs>
        <w:spacing w:before="180" w:after="0"/>
        <w:ind w:left="709" w:hanging="283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 xml:space="preserve">带 </w:t>
      </w:r>
      <w:r>
        <w:rPr>
          <w:rStyle w:val="Style10"/>
          <w:rFonts w:eastAsia="微软雅黑" w:cs="微软雅黑" w:ascii="微软雅黑" w:hAnsi="微软雅黑"/>
          <w:b/>
        </w:rPr>
        <w:t xml:space="preserve">mask </w:t>
      </w:r>
      <w:r>
        <w:rPr>
          <w:rStyle w:val="Style10"/>
          <w:rFonts w:ascii="微软雅黑" w:hAnsi="微软雅黑" w:cs="微软雅黑" w:eastAsia="微软雅黑"/>
          <w:b/>
        </w:rPr>
        <w:t>数据</w:t>
      </w:r>
      <w:r>
        <w:rPr>
          <w:rFonts w:ascii="微软雅黑" w:hAnsi="微软雅黑" w:cs="微软雅黑" w:eastAsia="微软雅黑"/>
        </w:rPr>
        <w:t>：教授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视觉引导 → 动作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的条件化映射，是本阶段新增的核心数据；</w:t>
      </w:r>
    </w:p>
    <w:p>
      <w:pPr>
        <w:pStyle w:val="Style14"/>
        <w:numPr>
          <w:ilvl w:val="0"/>
          <w:numId w:val="14"/>
        </w:numPr>
        <w:tabs>
          <w:tab w:val="clear" w:pos="720"/>
          <w:tab w:val="left" w:pos="0" w:leader="none"/>
          <w:tab w:val="left" w:pos="709" w:leader="none"/>
        </w:tabs>
        <w:ind w:left="709" w:hanging="283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 xml:space="preserve">无 </w:t>
      </w:r>
      <w:r>
        <w:rPr>
          <w:rStyle w:val="Style10"/>
          <w:rFonts w:eastAsia="微软雅黑" w:cs="微软雅黑" w:ascii="微软雅黑" w:hAnsi="微软雅黑"/>
          <w:b/>
        </w:rPr>
        <w:t xml:space="preserve">mask </w:t>
      </w:r>
      <w:r>
        <w:rPr>
          <w:rStyle w:val="Style10"/>
          <w:rFonts w:ascii="微软雅黑" w:hAnsi="微软雅黑" w:cs="微软雅黑" w:eastAsia="微软雅黑"/>
          <w:b/>
        </w:rPr>
        <w:t>原始数据</w:t>
      </w:r>
      <w:r>
        <w:rPr>
          <w:rFonts w:ascii="微软雅黑" w:hAnsi="微软雅黑" w:cs="微软雅黑" w:eastAsia="微软雅黑"/>
        </w:rPr>
        <w:t>：防止模型对</w:t>
      </w:r>
      <w:r>
        <w:rPr>
          <w:rFonts w:eastAsia="微软雅黑" w:cs="微软雅黑" w:ascii="微软雅黑" w:hAnsi="微软雅黑"/>
        </w:rPr>
        <w:t xml:space="preserve">"mask </w:t>
      </w:r>
      <w:r>
        <w:rPr>
          <w:rFonts w:ascii="微软雅黑" w:hAnsi="微软雅黑" w:cs="微软雅黑" w:eastAsia="微软雅黑"/>
        </w:rPr>
        <w:t>恒存在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产生过拟合假设，同时维持预训练获得的通用操作与语言跟随能力不退化。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（3）鲁棒性增强。为避免模型学成“背诵”固定 mask 图案，我们在合成阶段引入系统性扰动：mask 位置与形状的随机抖动、颜色通道的随机丢弃（channel dropout，迫使模型在部分语义缺失时仍给出合理动作），以及历史轨迹形态的多样化采样。此外混入一定比例的“冲突样本”——语言指令与 mask 引导指向不同目标的样本，使模型学习两者发生冲突时的优先级行为。</w:t>
      </w:r>
    </w:p>
    <w:p>
      <w:pPr>
        <w:pStyle w:val="3"/>
        <w:bidi w:val="0"/>
        <w:spacing w:before="200" w:after="28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3"/>
        <w:numPr>
          <w:ilvl w:val="1"/>
          <w:numId w:val="1"/>
        </w:numPr>
        <w:bidi w:val="0"/>
        <w:spacing w:before="200" w:after="283"/>
        <w:ind w:left="0" w:hanging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能力目标与验证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后训练后的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具备</w:t>
      </w:r>
      <w:r>
        <w:rPr>
          <w:rStyle w:val="Style10"/>
          <w:rFonts w:ascii="微软雅黑" w:hAnsi="微软雅黑" w:cs="微软雅黑" w:eastAsia="微软雅黑"/>
          <w:b/>
        </w:rPr>
        <w:t>视觉引导跟随能力</w:t>
      </w:r>
      <w:r>
        <w:rPr>
          <w:rFonts w:ascii="微软雅黑" w:hAnsi="微软雅黑" w:cs="微软雅黑" w:eastAsia="微软雅黑"/>
        </w:rPr>
        <w:t>，具体验证三个维度：</w:t>
      </w:r>
    </w:p>
    <w:p>
      <w:pPr>
        <w:pStyle w:val="Style14"/>
        <w:numPr>
          <w:ilvl w:val="0"/>
          <w:numId w:val="15"/>
        </w:numPr>
        <w:tabs>
          <w:tab w:val="clear" w:pos="720"/>
          <w:tab w:val="left" w:pos="0" w:leader="none"/>
        </w:tabs>
        <w:spacing w:before="180" w:after="0"/>
        <w:ind w:left="709" w:hanging="283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引导跟随精度：给定语言指令 + 三色 mask，模型能否正确接近绿色目标区域、将物体放置于银白色目标区域，并利用黄色历史轨迹维持对短期运动状态的感知，以任务成功率与轨迹偏差进行度量；</w:t>
      </w:r>
    </w:p>
    <w:p>
      <w:pPr>
        <w:pStyle w:val="Style14"/>
        <w:numPr>
          <w:ilvl w:val="0"/>
          <w:numId w:val="16"/>
        </w:numPr>
        <w:tabs>
          <w:tab w:val="clear" w:pos="720"/>
          <w:tab w:val="left" w:pos="0" w:leader="none"/>
          <w:tab w:val="left" w:pos="709" w:leader="none"/>
        </w:tabs>
        <w:spacing w:before="180" w:after="0"/>
        <w:ind w:left="709" w:hanging="283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在线重定向：在 rollout 过程中动态更新 mask（如移动当前目标或目标放置区域），检验模型能否实时响应视觉引导的变化而无需重置任务；</w:t>
      </w:r>
    </w:p>
    <w:p>
      <w:pPr>
        <w:pStyle w:val="Style14"/>
        <w:numPr>
          <w:ilvl w:val="0"/>
          <w:numId w:val="17"/>
        </w:numPr>
        <w:tabs>
          <w:tab w:val="clear" w:pos="720"/>
          <w:tab w:val="left" w:pos="0" w:leader="none"/>
          <w:tab w:val="left" w:pos="709" w:leader="none"/>
        </w:tabs>
        <w:ind w:left="709" w:hanging="283"/>
        <w:rPr>
          <w:rFonts w:ascii="微软雅黑" w:hAnsi="微软雅黑" w:eastAsia="微软雅黑" w:cs="微软雅黑"/>
        </w:rPr>
      </w:pPr>
      <w:r>
        <w:rPr>
          <w:rStyle w:val="Style10"/>
          <w:rFonts w:ascii="微软雅黑" w:hAnsi="微软雅黑" w:cs="微软雅黑" w:eastAsia="微软雅黑"/>
          <w:b/>
        </w:rPr>
        <w:t>无引导退化检测</w:t>
      </w:r>
      <w:r>
        <w:rPr>
          <w:rFonts w:ascii="微软雅黑" w:hAnsi="微软雅黑" w:cs="微软雅黑" w:eastAsia="微软雅黑"/>
        </w:rPr>
        <w:t xml:space="preserve">：在不提供 </w:t>
      </w:r>
      <w:r>
        <w:rPr>
          <w:rFonts w:eastAsia="微软雅黑" w:cs="微软雅黑" w:ascii="微软雅黑" w:hAnsi="微软雅黑"/>
        </w:rPr>
        <w:t xml:space="preserve">mask </w:t>
      </w:r>
      <w:r>
        <w:rPr>
          <w:rFonts w:ascii="微软雅黑" w:hAnsi="微软雅黑" w:cs="微软雅黑" w:eastAsia="微软雅黑"/>
        </w:rPr>
        <w:t>的原始任务上回归测试，确认通用操作能力与语言跟随能力未因后训练而下降。</w:t>
      </w:r>
    </w:p>
    <w:p>
      <w:pPr>
        <w:pStyle w:val="Style14"/>
        <w:bidi w:val="0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由此，</w:t>
      </w:r>
      <w:r>
        <w:rPr>
          <w:rFonts w:eastAsia="微软雅黑" w:cs="微软雅黑" w:ascii="微软雅黑" w:hAnsi="微软雅黑"/>
        </w:rPr>
        <w:t xml:space="preserve">mask </w:t>
      </w:r>
      <w:r>
        <w:rPr>
          <w:rFonts w:ascii="微软雅黑" w:hAnsi="微软雅黑" w:cs="微软雅黑" w:eastAsia="微软雅黑"/>
        </w:rPr>
        <w:t xml:space="preserve">语义设计（视觉协议）与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后训练（协议消费）构成完整闭环：前者定义了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人</w:t>
      </w:r>
      <w:r>
        <w:rPr>
          <w:rFonts w:eastAsia="微软雅黑" w:cs="微软雅黑" w:ascii="微软雅黑" w:hAnsi="微软雅黑"/>
        </w:rPr>
        <w:t>/</w:t>
      </w:r>
      <w:r>
        <w:rPr>
          <w:rFonts w:ascii="微软雅黑" w:hAnsi="微软雅黑" w:cs="微软雅黑" w:eastAsia="微软雅黑"/>
        </w:rPr>
        <w:t>系统如何向机器人表达空间约束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，后者保证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机器人能够正确理解并执行该约束</w:t>
      </w:r>
      <w:r>
        <w:rPr>
          <w:rFonts w:eastAsia="微软雅黑" w:cs="微软雅黑" w:ascii="微软雅黑" w:hAnsi="微软雅黑"/>
        </w:rPr>
        <w:t>"</w:t>
      </w:r>
      <w:r>
        <w:rPr>
          <w:rFonts w:ascii="微软雅黑" w:hAnsi="微软雅黑" w:cs="微软雅黑" w:eastAsia="微软雅黑"/>
        </w:rPr>
        <w:t>，为后续基于视觉引导的任务编排与人机交互奠定基础。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3"/>
        <w:numPr>
          <w:ilvl w:val="1"/>
          <w:numId w:val="1"/>
        </w:numPr>
        <w:ind w:left="0" w:hanging="0"/>
        <w:rPr>
          <w:rFonts w:ascii="微软雅黑" w:hAnsi="微软雅黑" w:eastAsia="微软雅黑" w:cs="微软雅黑"/>
        </w:rPr>
      </w:pPr>
      <w:bookmarkStart w:id="10" w:name="评测结果"/>
      <w:r>
        <w:rPr>
          <w:rFonts w:ascii="微软雅黑" w:hAnsi="微软雅黑" w:cs="微软雅黑" w:eastAsia="微软雅黑"/>
        </w:rPr>
        <w:t>评测结果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 xml:space="preserve">我们在 </w:t>
      </w:r>
      <w:r>
        <w:rPr>
          <w:rFonts w:eastAsia="微软雅黑" w:cs="微软雅黑" w:ascii="微软雅黑" w:hAnsi="微软雅黑"/>
        </w:rPr>
        <w:t xml:space="preserve">MolmoSpaces-Bench </w:t>
      </w:r>
      <w:r>
        <w:rPr>
          <w:rStyle w:val="Style6"/>
          <w:rFonts w:eastAsia="微软雅黑" w:cs="微软雅黑" w:ascii="微软雅黑" w:hAnsi="微软雅黑"/>
          <w:vertAlign w:val="superscript"/>
        </w:rPr>
        <w:footnoteReference w:id="2"/>
      </w:r>
      <w:r>
        <w:rPr>
          <w:rFonts w:eastAsia="微软雅黑" w:cs="微软雅黑" w:ascii="微软雅黑" w:hAnsi="微软雅黑"/>
        </w:rPr>
        <w:t xml:space="preserve"> </w:t>
      </w:r>
      <w:r>
        <w:rPr>
          <w:rFonts w:ascii="微软雅黑" w:hAnsi="微软雅黑" w:cs="微软雅黑" w:eastAsia="微软雅黑"/>
        </w:rPr>
        <w:t xml:space="preserve">上做了消融对比。基线是同一个 </w:t>
      </w:r>
      <w:r>
        <w:rPr>
          <w:rFonts w:eastAsia="微软雅黑" w:cs="微软雅黑" w:ascii="微软雅黑" w:hAnsi="微软雅黑"/>
        </w:rPr>
        <w:t xml:space="preserve">magicVLA </w:t>
      </w:r>
      <w:r>
        <w:rPr>
          <w:rFonts w:ascii="微软雅黑" w:hAnsi="微软雅黑" w:cs="微软雅黑" w:eastAsia="微软雅黑"/>
        </w:rPr>
        <w:t>策略、同一套任务，唯一变量是观测里有没有视觉引导帧：</w:t>
      </w:r>
    </w:p>
    <w:p>
      <w:pPr>
        <w:pStyle w:val="Compact"/>
        <w:numPr>
          <w:ilvl w:val="0"/>
          <w:numId w:val="2"/>
        </w:numPr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>ms-pick</w:t>
      </w:r>
      <w:r>
        <w:rPr>
          <w:rFonts w:ascii="微软雅黑" w:hAnsi="微软雅黑" w:cs="微软雅黑" w:eastAsia="微软雅黑"/>
        </w:rPr>
        <w:t xml:space="preserve">（单阶段抓取）：成功率从 </w:t>
      </w:r>
      <w:r>
        <w:rPr>
          <w:rFonts w:eastAsia="微软雅黑" w:cs="微软雅黑" w:ascii="微软雅黑" w:hAnsi="微软雅黑"/>
        </w:rPr>
        <w:t xml:space="preserve">70% </w:t>
      </w:r>
      <w:r>
        <w:rPr>
          <w:rFonts w:ascii="微软雅黑" w:hAnsi="微软雅黑" w:cs="微软雅黑" w:eastAsia="微软雅黑"/>
        </w:rPr>
        <w:t xml:space="preserve">提升到 </w:t>
      </w:r>
      <w:r>
        <w:rPr>
          <w:rFonts w:eastAsia="微软雅黑" w:cs="微软雅黑" w:ascii="微软雅黑" w:hAnsi="微软雅黑"/>
        </w:rPr>
        <w:t>94.4%</w:t>
      </w:r>
      <w:r>
        <w:rPr>
          <w:rFonts w:ascii="微软雅黑" w:hAnsi="微软雅黑" w:cs="微软雅黑" w:eastAsia="微软雅黑"/>
        </w:rPr>
        <w:t>，</w:t>
      </w:r>
      <w:r>
        <w:rPr>
          <w:rFonts w:eastAsia="微软雅黑" w:cs="微软雅黑" w:ascii="微软雅黑" w:hAnsi="微软雅黑"/>
        </w:rPr>
        <w:t xml:space="preserve">+24.4 </w:t>
      </w:r>
      <w:r>
        <w:rPr>
          <w:rFonts w:ascii="微软雅黑" w:hAnsi="微软雅黑" w:cs="微软雅黑" w:eastAsia="微软雅黑"/>
        </w:rPr>
        <w:t>个百分点；</w:t>
      </w:r>
    </w:p>
    <w:p>
      <w:pPr>
        <w:pStyle w:val="Compact"/>
        <w:numPr>
          <w:ilvl w:val="0"/>
          <w:numId w:val="2"/>
        </w:numPr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>pick-and-place</w:t>
      </w:r>
      <w:r>
        <w:rPr>
          <w:rFonts w:ascii="微软雅黑" w:hAnsi="微软雅黑" w:cs="微软雅黑" w:eastAsia="微软雅黑"/>
        </w:rPr>
        <w:t xml:space="preserve">（先抓后放）：成功率从 </w:t>
      </w:r>
      <w:r>
        <w:rPr>
          <w:rFonts w:eastAsia="微软雅黑" w:cs="微软雅黑" w:ascii="微软雅黑" w:hAnsi="微软雅黑"/>
        </w:rPr>
        <w:t xml:space="preserve">41% </w:t>
      </w:r>
      <w:r>
        <w:rPr>
          <w:rFonts w:ascii="微软雅黑" w:hAnsi="微软雅黑" w:cs="微软雅黑" w:eastAsia="微软雅黑"/>
        </w:rPr>
        <w:t xml:space="preserve">提升到 </w:t>
      </w:r>
      <w:r>
        <w:rPr>
          <w:rFonts w:eastAsia="微软雅黑" w:cs="微软雅黑" w:ascii="微软雅黑" w:hAnsi="微软雅黑"/>
        </w:rPr>
        <w:t>84.7%</w:t>
      </w:r>
      <w:r>
        <w:rPr>
          <w:rFonts w:ascii="微软雅黑" w:hAnsi="微软雅黑" w:cs="微软雅黑" w:eastAsia="微软雅黑"/>
        </w:rPr>
        <w:t>，</w:t>
      </w:r>
      <w:r>
        <w:rPr>
          <w:rFonts w:eastAsia="微软雅黑" w:cs="微软雅黑" w:ascii="微软雅黑" w:hAnsi="微软雅黑"/>
        </w:rPr>
        <w:t xml:space="preserve">+43.7 </w:t>
      </w:r>
      <w:r>
        <w:rPr>
          <w:rFonts w:ascii="微软雅黑" w:hAnsi="微软雅黑" w:cs="微软雅黑" w:eastAsia="微软雅黑"/>
        </w:rPr>
        <w:t>个百分点。</w:t>
      </w:r>
    </w:p>
    <w:p>
      <w:pPr>
        <w:pStyle w:val="Compact"/>
        <w:numPr>
          <w:ilvl w:val="0"/>
          <w:numId w:val="0"/>
        </w:numPr>
        <w:ind w:left="720" w:hanging="0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CaptionedFigure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3820795"/>
            <wp:effectExtent l="0" t="0" r="0" b="0"/>
            <wp:wrapSquare wrapText="largest"/>
            <wp:docPr id="4" name="图像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MolmoSpaces-Bench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评测结果</w:t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图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3 · MolmoSpaces-Bench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上的消融对比：视觉引导在两类任务上分别带来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+24.4pp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与 </w:t>
      </w: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 xml:space="preserve">+43.7pp </w:t>
      </w: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的成功率提升。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在当前两类任务的对比中，包含抓取与放置两个阶段的 pick-and-place 获得了更大的绝对提升。一个可能的原因是，放置阶段需要回答“放到哪”，这类区域级 grounding 对纯语言指令更具挑战：例如“篮子”对应的是一个空间区域，而非单一可指认的物体；银白色 mask 则可以直接将目标放置区域呈现在观测图像中。因此，在本组实验中，视觉引导在放置阶段体现出了更明显的收益。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2"/>
        <w:rPr>
          <w:rFonts w:ascii="微软雅黑" w:hAnsi="微软雅黑" w:eastAsia="微软雅黑" w:cs="微软雅黑"/>
        </w:rPr>
      </w:pPr>
      <w:bookmarkStart w:id="11" w:name="视觉引导跑在哪magic-brain-框架简介"/>
      <w:r>
        <w:rPr>
          <w:rFonts w:eastAsia="微软雅黑" w:cs="微软雅黑" w:ascii="微软雅黑" w:hAnsi="微软雅黑"/>
          <w:lang w:val="en-US" w:eastAsia="zh-CN"/>
        </w:rPr>
        <w:t>3. M</w:t>
      </w:r>
      <w:r>
        <w:rPr>
          <w:rFonts w:eastAsia="微软雅黑" w:cs="微软雅黑" w:ascii="微软雅黑" w:hAnsi="微软雅黑"/>
        </w:rPr>
        <w:t>agic-</w:t>
      </w:r>
      <w:r>
        <w:rPr>
          <w:rFonts w:eastAsia="微软雅黑" w:cs="微软雅黑" w:ascii="微软雅黑" w:hAnsi="微软雅黑"/>
          <w:lang w:val="en-US" w:eastAsia="zh-CN"/>
        </w:rPr>
        <w:t>B</w:t>
      </w:r>
      <w:r>
        <w:rPr>
          <w:rFonts w:eastAsia="微软雅黑" w:cs="微软雅黑" w:ascii="微软雅黑" w:hAnsi="微软雅黑"/>
        </w:rPr>
        <w:t xml:space="preserve">rain </w:t>
      </w:r>
      <w:r>
        <w:rPr>
          <w:rFonts w:ascii="微软雅黑" w:hAnsi="微软雅黑" w:cs="微软雅黑" w:eastAsia="微软雅黑"/>
        </w:rPr>
        <w:t>框架简介</w:t>
      </w:r>
    </w:p>
    <w:p>
      <w:pPr>
        <w:pStyle w:val="3"/>
        <w:rPr>
          <w:rFonts w:ascii="微软雅黑" w:hAnsi="微软雅黑" w:eastAsia="微软雅黑" w:cs="微软雅黑"/>
        </w:rPr>
      </w:pPr>
      <w:bookmarkStart w:id="12" w:name="三层架构与一条红线"/>
      <w:bookmarkEnd w:id="12"/>
      <w:r>
        <w:rPr>
          <w:rFonts w:eastAsia="微软雅黑" w:cs="微软雅黑" w:ascii="微软雅黑" w:hAnsi="微软雅黑"/>
          <w:lang w:val="en-US" w:eastAsia="zh-CN"/>
        </w:rPr>
        <w:t xml:space="preserve">3.1. </w:t>
      </w:r>
      <w:r>
        <w:rPr>
          <w:rFonts w:ascii="微软雅黑" w:hAnsi="微软雅黑" w:cs="微软雅黑" w:eastAsia="微软雅黑"/>
        </w:rPr>
        <w:t>三层架构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  <w:lang w:val="en-US" w:eastAsia="zh-CN"/>
        </w:rPr>
        <w:t>Magic-Brain 是我们的具身 Agent 框架，采用三层架构：apps → gateway → agent_core。apps 层主要用于实现面向具体功能的 Agent，包括导航、抓取、交互和哨兵四类。其中，哨兵 Agent 主要负责主动式、触发式任务。四类 Agent 协同完成机器人算法能力的整合，将导航、抓取、交互与主动感知/主动响应能力组织为统一的具身智能体系统。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731510" cy="4171315"/>
            <wp:effectExtent l="0" t="0" r="0" b="0"/>
            <wp:wrapSquare wrapText="largest"/>
            <wp:docPr id="5" name="图像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6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eastAsia="微软雅黑" w:cs="微软雅黑" w:ascii="微软雅黑" w:hAnsi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Magic-Brain 三层架构层级图</w:t>
      </w:r>
    </w:p>
    <w:p>
      <w:pPr>
        <w:pStyle w:val="ImageCaption"/>
        <w:rPr>
          <w:rFonts w:ascii="微软雅黑" w:hAnsi="微软雅黑" w:eastAsia="微软雅黑" w:cs="微软雅黑"/>
          <w:i/>
          <w:i/>
          <w:iCs w:val="false"/>
          <w:color w:val="auto"/>
          <w:kern w:val="0"/>
          <w:sz w:val="15"/>
          <w:szCs w:val="15"/>
          <w:lang w:val="en-US" w:eastAsia="en-US" w:bidi="ar-SA"/>
        </w:rPr>
      </w:pPr>
      <w:r>
        <w:rPr>
          <w:rFonts w:ascii="微软雅黑" w:hAnsi="微软雅黑" w:cs="微软雅黑" w:eastAsia="微软雅黑"/>
          <w:i/>
          <w:iCs w:val="false"/>
          <w:color w:val="auto"/>
          <w:kern w:val="0"/>
          <w:sz w:val="15"/>
          <w:szCs w:val="15"/>
          <w:lang w:val="en-US" w:eastAsia="en-US" w:bidi="ar-SA"/>
        </w:rPr>
        <w:t>图 4 · Magic-Brain 的三层架构。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  <w:color w:val="auto"/>
          <w:kern w:val="0"/>
          <w:sz w:val="24"/>
          <w:szCs w:val="24"/>
          <w:lang w:val="en-US" w:eastAsia="en-US" w:bidi="ar-SA"/>
        </w:rPr>
        <w:t>gateway 层负责连接管理、事件广播与鉴权，是支撑跨机器人本体与规模化部署的基础设施层。agent_core 则作为 Agent 框架的核心执行引擎，承载 Plan-and-Act、工具管理、Memory、Context 等 Agent 相关的核心机制。通过这种分层设计，同一套 agent_core 可以支撑 apps 层的多个功能型 Agent。</w:t>
      </w:r>
    </w:p>
    <w:p>
      <w:pPr>
        <w:pStyle w:val="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  <w:bookmarkStart w:id="14" w:name="计划打断与重规划"/>
      <w:bookmarkStart w:id="15" w:name="计划打断与重规划"/>
    </w:p>
    <w:p>
      <w:pPr>
        <w:pStyle w:val="3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  <w:lang w:val="en-US" w:eastAsia="zh-CN"/>
        </w:rPr>
        <w:t xml:space="preserve">3.2. </w:t>
      </w:r>
      <w:r>
        <w:rPr>
          <w:rFonts w:ascii="微软雅黑" w:hAnsi="微软雅黑" w:cs="微软雅黑" w:eastAsia="微软雅黑"/>
        </w:rPr>
        <w:t>计划、打断与重规划</w:t>
      </w:r>
    </w:p>
    <w:p>
      <w:pPr>
        <w:pStyle w:val="FirstParagraph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主循环由 Plan-and-Act 驱动，遵循“规划 → 执行 → 观察 → 再规划”的闭环。子任务组织为 DAG，每个 SubTask 有 READY/BLOCKED/RUNNING/DONE/FAILED 五种状态，并通过依赖关系检查保证拓扑结构无环；运行时动态计算 READY 子任务批次，并使用 asyncio.gather 并发执行彼此独立的任务。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具身场景中，打断是常态。我们将 InterruptBus（PAUSE/ABORT/ESTOP）与 SteeringBus（STEER/FOLLOWUP）正交分开：前者表达“停”，后者表达“改主意”，两者语义不同，因此不共享通道。在作动安全方面，声明 has_safety=True 的工具会经过包含 SafetyHook 与 Gate.evaluate 裁决在内的五步工具管线。子任务状态为 FAILED 或 DEVIATED 时触发 replan，上限为 max_replans=3；checkpoint 的恢复粒度是子任务而非步骤，因为具身动作不可回滚——机械臂已经倒出去的水无法收回，能够重新执行的是任务。</w:t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</w:p>
    <w:p>
      <w:pPr>
        <w:pStyle w:val="Style14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</w:rPr>
        <w:t>回到开头的问题：我们没有让 VLA 变得更聪明，只是让它看见了该看什么。在具身系统里，“看见”往往不是感知模型的容量问题，而是信息以什么形式抵达的问题。语言说清“做什么”，像素说清“是哪个、在哪里”，把两路信息各交给擅长的模型，是我们目前找到的最省力的分工。</w:t>
      </w:r>
    </w:p>
    <w:p>
      <w:pPr>
        <w:pStyle w:val="2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</w:r>
      <w:bookmarkStart w:id="16" w:name="参考文献"/>
      <w:bookmarkStart w:id="17" w:name="参考文献"/>
    </w:p>
    <w:p>
      <w:pPr>
        <w:pStyle w:val="2"/>
        <w:rPr>
          <w:rFonts w:ascii="微软雅黑" w:hAnsi="微软雅黑" w:eastAsia="微软雅黑" w:cs="微软雅黑"/>
        </w:rPr>
      </w:pPr>
      <w:r>
        <w:rPr>
          <w:rFonts w:ascii="微软雅黑" w:hAnsi="微软雅黑" w:cs="微软雅黑" w:eastAsia="微软雅黑"/>
          <w:lang w:val="en-US" w:eastAsia="zh-CN"/>
        </w:rPr>
        <w:t xml:space="preserve">※ </w:t>
      </w:r>
      <w:r>
        <w:rPr>
          <w:rFonts w:ascii="微软雅黑" w:hAnsi="微软雅黑" w:cs="微软雅黑" w:eastAsia="微软雅黑"/>
        </w:rPr>
        <w:t>参考文献</w:t>
      </w:r>
    </w:p>
    <w:p>
      <w:pPr>
        <w:pStyle w:val="Normal"/>
        <w:numPr>
          <w:ilvl w:val="0"/>
          <w:numId w:val="18"/>
        </w:numPr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 xml:space="preserve">Wang, Z., Chen, Y., Liu, Y., Ye, J., Chen, P., Lu, C., Liu, S., Yu, B., Jia, J. “VP-VLA: Visual Prompting as an Interface for Vision-Language-Action Models.” arXiv:2603.22003, 2026. </w:t>
      </w:r>
      <w:r>
        <w:rPr>
          <w:rFonts w:ascii="微软雅黑" w:hAnsi="微软雅黑" w:cs="微软雅黑" w:eastAsia="微软雅黑"/>
        </w:rPr>
        <w:t>提出把视觉标记（准星、</w:t>
      </w:r>
      <w:r>
        <w:rPr>
          <w:rFonts w:eastAsia="微软雅黑" w:cs="微软雅黑" w:ascii="微软雅黑" w:hAnsi="微软雅黑"/>
        </w:rPr>
        <w:t>bbox</w:t>
      </w:r>
      <w:r>
        <w:rPr>
          <w:rFonts w:ascii="微软雅黑" w:hAnsi="微软雅黑" w:cs="微软雅黑" w:eastAsia="微软雅黑"/>
        </w:rPr>
        <w:t xml:space="preserve">）叠加在观测图像上作为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的输入接口，</w:t>
      </w:r>
      <w:r>
        <w:rPr>
          <w:rFonts w:eastAsia="微软雅黑" w:cs="微软雅黑" w:ascii="微软雅黑" w:hAnsi="微软雅黑"/>
        </w:rPr>
        <w:t xml:space="preserve">System 2 </w:t>
      </w:r>
      <w:r>
        <w:rPr>
          <w:rFonts w:ascii="微软雅黑" w:hAnsi="微软雅黑" w:cs="微软雅黑" w:eastAsia="微软雅黑"/>
        </w:rPr>
        <w:t xml:space="preserve">的 </w:t>
      </w:r>
      <w:r>
        <w:rPr>
          <w:rFonts w:eastAsia="微软雅黑" w:cs="微软雅黑" w:ascii="微软雅黑" w:hAnsi="微软雅黑"/>
        </w:rPr>
        <w:t xml:space="preserve">VLM </w:t>
      </w:r>
      <w:r>
        <w:rPr>
          <w:rFonts w:ascii="微软雅黑" w:hAnsi="微软雅黑" w:cs="微软雅黑" w:eastAsia="微软雅黑"/>
        </w:rPr>
        <w:t>规划器出标记、</w:t>
      </w:r>
      <w:r>
        <w:rPr>
          <w:rFonts w:eastAsia="微软雅黑" w:cs="微软雅黑" w:ascii="微软雅黑" w:hAnsi="微软雅黑"/>
        </w:rPr>
        <w:t xml:space="preserve">System 1 </w:t>
      </w:r>
      <w:r>
        <w:rPr>
          <w:rFonts w:ascii="微软雅黑" w:hAnsi="微软雅黑" w:cs="微软雅黑" w:eastAsia="微软雅黑"/>
        </w:rPr>
        <w:t>控制器消费标记，训练时加入辅助视觉接地目标。</w:t>
      </w:r>
    </w:p>
    <w:p>
      <w:pPr>
        <w:pStyle w:val="Normal"/>
        <w:numPr>
          <w:ilvl w:val="0"/>
          <w:numId w:val="19"/>
        </w:numPr>
        <w:tabs>
          <w:tab w:val="clear" w:pos="720"/>
          <w:tab w:val="left" w:pos="0" w:leader="none"/>
        </w:tabs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 xml:space="preserve">Yang, J., Huang, W., Zhang, J., Hu, M., Guo, H. “In-Context VLA: Endowing Vision-Language-Action Models with Language via In-Context Post-Training and Agentic Tool Use.” arXiv:2608.05738, 2026. </w:t>
      </w:r>
      <w:r>
        <w:rPr>
          <w:rFonts w:ascii="微软雅黑" w:hAnsi="微软雅黑" w:cs="微软雅黑" w:eastAsia="微软雅黑"/>
        </w:rPr>
        <w:t xml:space="preserve">指出自由文本 </w:t>
      </w:r>
      <w:r>
        <w:rPr>
          <w:rFonts w:eastAsia="微软雅黑" w:cs="微软雅黑" w:ascii="微软雅黑" w:hAnsi="微软雅黑"/>
        </w:rPr>
        <w:t xml:space="preserve">CoT </w:t>
      </w:r>
      <w:r>
        <w:rPr>
          <w:rFonts w:ascii="微软雅黑" w:hAnsi="微软雅黑" w:cs="微软雅黑" w:eastAsia="微软雅黑"/>
        </w:rPr>
        <w:t xml:space="preserve">会损害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 xml:space="preserve">的低层控制，主张让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 xml:space="preserve">消费已接地的信息而非生成语言，做法是 </w:t>
      </w:r>
      <w:r>
        <w:rPr>
          <w:rFonts w:eastAsia="微软雅黑" w:cs="微软雅黑" w:ascii="微软雅黑" w:hAnsi="微软雅黑"/>
        </w:rPr>
        <w:t xml:space="preserve">in-context post-training </w:t>
      </w:r>
      <w:r>
        <w:rPr>
          <w:rFonts w:ascii="微软雅黑" w:hAnsi="微软雅黑" w:cs="微软雅黑" w:eastAsia="微软雅黑"/>
        </w:rPr>
        <w:t xml:space="preserve">加 </w:t>
      </w:r>
      <w:r>
        <w:rPr>
          <w:rFonts w:eastAsia="微软雅黑" w:cs="微软雅黑" w:ascii="微软雅黑" w:hAnsi="微软雅黑"/>
        </w:rPr>
        <w:t>agentic tool use</w:t>
      </w:r>
      <w:r>
        <w:rPr>
          <w:rFonts w:ascii="微软雅黑" w:hAnsi="微软雅黑" w:cs="微软雅黑" w:eastAsia="微软雅黑"/>
        </w:rPr>
        <w:t>。</w:t>
      </w:r>
    </w:p>
    <w:p>
      <w:pPr>
        <w:pStyle w:val="Normal"/>
        <w:numPr>
          <w:ilvl w:val="0"/>
          <w:numId w:val="20"/>
        </w:numPr>
        <w:tabs>
          <w:tab w:val="clear" w:pos="720"/>
          <w:tab w:val="left" w:pos="0" w:leader="none"/>
        </w:tabs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 xml:space="preserve">Zhang, Y., Wang, R., Lin, J., Wang, Z., Qi, X. “Retrieval-VLA: Training-Free In-Context Adaptation for Vision-Language-Action Models.” CVPR 2026. </w:t>
      </w:r>
      <w:r>
        <w:rPr>
          <w:rFonts w:ascii="微软雅黑" w:hAnsi="微软雅黑" w:cs="微软雅黑" w:eastAsia="微软雅黑"/>
        </w:rPr>
        <w:t xml:space="preserve">通过检索增强与上下文学习，让预训练 </w:t>
      </w:r>
      <w:r>
        <w:rPr>
          <w:rFonts w:eastAsia="微软雅黑" w:cs="微软雅黑" w:ascii="微软雅黑" w:hAnsi="微软雅黑"/>
        </w:rPr>
        <w:t xml:space="preserve">VLA </w:t>
      </w:r>
      <w:r>
        <w:rPr>
          <w:rFonts w:ascii="微软雅黑" w:hAnsi="微软雅黑" w:cs="微软雅黑" w:eastAsia="微软雅黑"/>
        </w:rPr>
        <w:t>无需梯度更新即可适配新任务。</w:t>
      </w:r>
    </w:p>
    <w:p>
      <w:pPr>
        <w:pStyle w:val="Normal"/>
        <w:numPr>
          <w:ilvl w:val="0"/>
          <w:numId w:val="21"/>
        </w:numPr>
        <w:tabs>
          <w:tab w:val="clear" w:pos="720"/>
          <w:tab w:val="left" w:pos="0" w:leader="none"/>
        </w:tabs>
        <w:spacing w:before="0" w:after="200"/>
        <w:rPr>
          <w:rFonts w:ascii="微软雅黑" w:hAnsi="微软雅黑" w:eastAsia="微软雅黑" w:cs="微软雅黑"/>
        </w:rPr>
      </w:pPr>
      <w:r>
        <w:rPr>
          <w:rFonts w:eastAsia="微软雅黑" w:cs="微软雅黑" w:ascii="微软雅黑" w:hAnsi="微软雅黑"/>
        </w:rPr>
        <w:t xml:space="preserve">Kim, et al. “MolmoSpaces.” arXiv:2602.11337, 2026. </w:t>
      </w:r>
      <w:r>
        <w:rPr>
          <w:rFonts w:ascii="微软雅黑" w:hAnsi="微软雅黑" w:cs="微软雅黑" w:eastAsia="微软雅黑"/>
        </w:rPr>
        <w:t>具身评测基准，</w:t>
      </w:r>
      <w:r>
        <w:rPr>
          <w:rFonts w:eastAsia="微软雅黑" w:cs="微软雅黑" w:ascii="微软雅黑" w:hAnsi="微软雅黑"/>
        </w:rPr>
        <w:t xml:space="preserve">MolmoSpaces-Bench </w:t>
      </w:r>
      <w:r>
        <w:rPr>
          <w:rFonts w:ascii="微软雅黑" w:hAnsi="微软雅黑" w:cs="微软雅黑" w:eastAsia="微软雅黑"/>
        </w:rPr>
        <w:t xml:space="preserve">包含 </w:t>
      </w:r>
      <w:r>
        <w:rPr>
          <w:rFonts w:eastAsia="微软雅黑" w:cs="微软雅黑" w:ascii="微软雅黑" w:hAnsi="微软雅黑"/>
        </w:rPr>
        <w:t xml:space="preserve">pick </w:t>
      </w:r>
      <w:r>
        <w:rPr>
          <w:rFonts w:ascii="微软雅黑" w:hAnsi="微软雅黑" w:cs="微软雅黑" w:eastAsia="微软雅黑"/>
        </w:rPr>
        <w:t xml:space="preserve">与 </w:t>
      </w:r>
      <w:r>
        <w:rPr>
          <w:rFonts w:eastAsia="微软雅黑" w:cs="微软雅黑" w:ascii="微软雅黑" w:hAnsi="微软雅黑"/>
        </w:rPr>
        <w:t xml:space="preserve">pick-and-place </w:t>
      </w:r>
      <w:r>
        <w:rPr>
          <w:rFonts w:ascii="微软雅黑" w:hAnsi="微软雅黑" w:cs="微软雅黑" w:eastAsia="微软雅黑"/>
        </w:rPr>
        <w:t>任务。</w:t>
      </w:r>
      <w:bookmarkEnd w:id="0"/>
      <w:bookmarkEnd w:id="17"/>
    </w:p>
    <w:sectPr>
      <w:footerReference w:type="default" r:id="rId7"/>
      <w:footnotePr>
        <w:numFmt w:val="decimal"/>
      </w:footnotePr>
      <w:type w:val="nextPage"/>
      <w:pgSz w:w="11906" w:h="16838"/>
      <w:pgMar w:left="1440" w:right="1440" w:gutter="0" w:header="0" w:top="1440" w:footer="992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nsolas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微软雅黑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200"/>
      <w:jc w:val="center"/>
      <w:rPr/>
    </w:pPr>
    <w:r>
      <w:rPr>
        <w:color w:val="808080"/>
        <w:sz w:val="18"/>
      </w:rPr>
      <w:t>—  —</w:t>
    </w:r>
    <w:r>
      <w:rPr>
        <w:color w:val="808080"/>
        <w:sz w:val="18"/>
      </w:rPr>
      <w:fldChar w:fldCharType="begin"/>
    </w:r>
    <w:r>
      <w:rPr>
        <w:sz w:val="18"/>
        <w:color w:val="808080"/>
      </w:rPr>
      <w:instrText xml:space="preserve"> PAGE </w:instrText>
    </w:r>
    <w:r>
      <w:rPr>
        <w:sz w:val="18"/>
        <w:color w:val="808080"/>
      </w:rPr>
      <w:fldChar w:fldCharType="separate"/>
    </w:r>
    <w:r>
      <w:rPr>
        <w:sz w:val="18"/>
        <w:color w:val="808080"/>
      </w:rPr>
      <w:t>8</w:t>
    </w:r>
    <w:r>
      <w:rPr>
        <w:sz w:val="18"/>
        <w:color w:val="808080"/>
      </w:rPr>
      <w:fldChar w:fldCharType="end"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Style22"/>
        <w:spacing w:lineRule="auto" w:line="240" w:before="0" w:after="0"/>
        <w:rPr/>
      </w:pPr>
      <w:r>
        <w:rPr>
          <w:rStyle w:val="Style5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480"/>
      </w:pPr>
      <w:rPr>
        <w:rFonts w:ascii="Symbol" w:hAnsi="Symbol" w:cs="Symbol" w:hint="default"/>
      </w:rPr>
    </w:lvl>
    <w:lvl w:ilvl="1">
      <w:start w:val="0"/>
      <w:numFmt w:val="bullet"/>
      <w:lvlText w:val=""/>
      <w:lvlJc w:val="left"/>
      <w:pPr>
        <w:tabs>
          <w:tab w:val="num" w:pos="0"/>
        </w:tabs>
        <w:ind w:left="1440" w:hanging="480"/>
      </w:pPr>
      <w:rPr>
        <w:rFonts w:ascii="Symbol" w:hAnsi="Symbol" w:cs="Symbol" w:hint="default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60" w:hanging="480"/>
      </w:pPr>
      <w:rPr>
        <w:rFonts w:ascii="Symbol" w:hAnsi="Symbol" w:cs="Symbol" w:hint="default"/>
      </w:rPr>
    </w:lvl>
    <w:lvl w:ilvl="3">
      <w:start w:val="0"/>
      <w:numFmt w:val="bullet"/>
      <w:lvlText w:val=""/>
      <w:lvlJc w:val="left"/>
      <w:pPr>
        <w:tabs>
          <w:tab w:val="num" w:pos="0"/>
        </w:tabs>
        <w:ind w:left="2880" w:hanging="480"/>
      </w:pPr>
      <w:rPr>
        <w:rFonts w:ascii="Symbol" w:hAnsi="Symbol" w:cs="Symbol" w:hint="default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00" w:hanging="480"/>
      </w:pPr>
      <w:rPr>
        <w:rFonts w:ascii="Symbol" w:hAnsi="Symbol" w:cs="Symbol" w:hint="default"/>
      </w:rPr>
    </w:lvl>
    <w:lvl w:ilvl="5">
      <w:start w:val="0"/>
      <w:numFmt w:val="bullet"/>
      <w:lvlText w:val=""/>
      <w:lvlJc w:val="left"/>
      <w:pPr>
        <w:tabs>
          <w:tab w:val="num" w:pos="0"/>
        </w:tabs>
        <w:ind w:left="4320" w:hanging="480"/>
      </w:pPr>
      <w:rPr>
        <w:rFonts w:ascii="Symbol" w:hAnsi="Symbol" w:cs="Symbol" w:hint="default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040" w:hanging="480"/>
      </w:pPr>
      <w:rPr>
        <w:rFonts w:ascii="Symbol" w:hAnsi="Symbol" w:cs="Symbol" w:hint="default"/>
      </w:rPr>
    </w:lvl>
    <w:lvl w:ilvl="7">
      <w:start w:val="0"/>
      <w:numFmt w:val="bullet"/>
      <w:lvlText w:val=""/>
      <w:lvlJc w:val="left"/>
      <w:pPr>
        <w:tabs>
          <w:tab w:val="num" w:pos="0"/>
        </w:tabs>
        <w:ind w:left="5760" w:hanging="480"/>
      </w:pPr>
      <w:rPr>
        <w:rFonts w:ascii="Symbol" w:hAnsi="Symbol" w:cs="Symbol" w:hint="default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6480" w:hanging="480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/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/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/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/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/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/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/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/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48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48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4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48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4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48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48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4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48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48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4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48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4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48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48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48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720" w:hanging="48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48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4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48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4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48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48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4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720" w:hanging="480"/>
      </w:pPr>
      <w:rPr/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480"/>
      </w:pPr>
      <w:rPr/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4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480"/>
      </w:pPr>
      <w:rPr/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480"/>
      </w:pPr>
      <w:rPr/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4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480"/>
      </w:pPr>
      <w:rPr/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480"/>
      </w:pPr>
      <w:rPr/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480"/>
      </w:pPr>
      <w:rPr/>
    </w:lvl>
  </w:abstractNum>
  <w:abstractNum w:abstractNumId="1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3"/>
    <w:lvlOverride w:ilvl="0">
      <w:startOverride w:val="1"/>
    </w:lvlOverride>
  </w:num>
  <w:num w:numId="14">
    <w:abstractNumId w:val="3"/>
    <w:lvlOverride w:ilvl="0">
      <w:startOverride w:val="2"/>
    </w:lvlOverride>
  </w:num>
  <w:num w:numId="15">
    <w:abstractNumId w:val="5"/>
    <w:lvlOverride w:ilvl="0">
      <w:startOverride w:val="1"/>
    </w:lvlOverride>
  </w:num>
  <w:num w:numId="16">
    <w:abstractNumId w:val="5"/>
    <w:lvlOverride w:ilvl="0">
      <w:startOverride w:val="2"/>
    </w:lvlOverride>
  </w:num>
  <w:num w:numId="17">
    <w:abstractNumId w:val="5"/>
    <w:lvlOverride w:ilvl="0">
      <w:startOverride w:val="3"/>
    </w:lvlOverride>
  </w:num>
  <w:num w:numId="18">
    <w:abstractNumId w:val="8"/>
    <w:lvlOverride w:ilvl="0">
      <w:startOverride w:val="1"/>
    </w:lvlOverride>
  </w:num>
  <w:num w:numId="19">
    <w:abstractNumId w:val="8"/>
  </w:num>
  <w:num w:numId="20">
    <w:abstractNumId w:val="8"/>
  </w:num>
  <w:num w:numId="21">
    <w:abstractNumId w:val="8"/>
  </w:num>
</w:numbering>
</file>

<file path=word/settings.xml><?xml version="1.0" encoding="utf-8"?>
<w:settings xmlns:w="http://schemas.openxmlformats.org/wordprocessingml/2006/main">
  <w:zoom w:percent="160"/>
  <w:embedSystemFonts/>
  <w:defaultTabStop w:val="720"/>
  <w:autoHyphenation w:val="true"/>
  <w:footnotePr>
    <w:numFmt w:val="decimal"/>
    <w:footnote w:id="0"/>
    <w:footnote w:id="1"/>
  </w:foot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Cambria" w:cs="宋体" w:asciiTheme="minorHAnsi" w:cstheme="minorBidi" w:eastAsiaTheme="minorHAnsi" w:hAnsiTheme="minorHAnsi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qFormat="1"/>
    <w:lsdException w:name="heading 3" w:uiPriority="9" w:semiHidden="0" w:qFormat="1"/>
    <w:lsdException w:name="heading 4" w:uiPriority="9" w:semiHidden="0" w:qFormat="1"/>
    <w:lsdException w:name="heading 5" w:uiPriority="9" w:semiHidden="0" w:qFormat="1"/>
    <w:lsdException w:name="heading 6" w:uiPriority="9" w:semiHidden="0" w:qFormat="1"/>
    <w:lsdException w:name="heading 7" w:uiPriority="9" w:semiHidden="0" w:qFormat="1"/>
    <w:lsdException w:name="heading 8" w:uiPriority="9" w:semiHidden="0" w:qFormat="1"/>
    <w:lsdException w:name="heading 9" w:uiPriority="9" w:semiHidden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9" w:semiHidden="0" w:qFormat="1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 w:qFormat="1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9" w:semiHidden="0" w:qFormat="1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/>
    <w:lsdException w:name="Emphasis" w:uiPriority="0" w:semiHidden="0" w:unhideWhenUsed="0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semiHidden="0" w:unhideWhenUsed="0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200"/>
      <w:jc w:val="left"/>
    </w:pPr>
    <w:rPr>
      <w:rFonts w:ascii="Cambria" w:hAnsi="Cambria" w:eastAsia="宋体" w:cs="宋体" w:asciiTheme="minorHAnsi" w:cstheme="minorBidi" w:hAnsiTheme="minorHAnsi"/>
      <w:color w:val="auto"/>
      <w:kern w:val="0"/>
      <w:sz w:val="24"/>
      <w:szCs w:val="24"/>
      <w:lang w:val="en-US" w:eastAsia="en-US" w:bidi="ar-SA"/>
    </w:rPr>
  </w:style>
  <w:style w:type="paragraph" w:styleId="1">
    <w:name w:val="Heading 1"/>
    <w:basedOn w:val="Normal"/>
    <w:next w:val="Style14"/>
    <w:uiPriority w:val="9"/>
    <w:qFormat/>
    <w:pPr>
      <w:keepNext w:val="true"/>
      <w:keepLines/>
      <w:spacing w:before="480" w:after="0"/>
      <w:outlineLvl w:val="0"/>
    </w:pPr>
    <w:rPr>
      <w:rFonts w:ascii="Calibri" w:hAnsi="Calibri" w:eastAsia="" w:cs="宋体" w:asciiTheme="majorHAnsi" w:cstheme="majorBidi" w:eastAsiaTheme="majorEastAsia" w:hAnsiTheme="majorHAnsi"/>
      <w:b/>
      <w:bCs/>
      <w:color w:val="4F81BD" w:themeColor="accent1"/>
      <w:sz w:val="32"/>
      <w:szCs w:val="32"/>
    </w:rPr>
  </w:style>
  <w:style w:type="paragraph" w:styleId="2">
    <w:name w:val="Heading 2"/>
    <w:basedOn w:val="Normal"/>
    <w:next w:val="Style14"/>
    <w:uiPriority w:val="9"/>
    <w:unhideWhenUsed/>
    <w:qFormat/>
    <w:pPr>
      <w:keepNext w:val="true"/>
      <w:keepLines/>
      <w:spacing w:before="200" w:after="0"/>
      <w:outlineLvl w:val="1"/>
    </w:pPr>
    <w:rPr>
      <w:rFonts w:ascii="Calibri" w:hAnsi="Calibri" w:eastAsia="" w:cs="宋体" w:asciiTheme="majorHAnsi" w:cstheme="majorBidi" w:eastAsiaTheme="majorEastAsia" w:hAnsiTheme="majorHAnsi"/>
      <w:b/>
      <w:bCs/>
      <w:color w:val="4F81BD" w:themeColor="accent1"/>
      <w:sz w:val="28"/>
      <w:szCs w:val="28"/>
    </w:rPr>
  </w:style>
  <w:style w:type="paragraph" w:styleId="3">
    <w:name w:val="Heading 3"/>
    <w:basedOn w:val="Normal"/>
    <w:next w:val="Style14"/>
    <w:uiPriority w:val="9"/>
    <w:unhideWhenUsed/>
    <w:qFormat/>
    <w:pPr>
      <w:keepNext w:val="true"/>
      <w:keepLines/>
      <w:spacing w:before="200" w:after="0"/>
      <w:outlineLvl w:val="2"/>
    </w:pPr>
    <w:rPr>
      <w:rFonts w:ascii="Calibri" w:hAnsi="Calibri" w:eastAsia="" w:cs="宋体" w:asciiTheme="majorHAnsi" w:cstheme="majorBidi" w:eastAsiaTheme="majorEastAsia" w:hAnsiTheme="majorHAnsi"/>
      <w:b/>
      <w:bCs/>
      <w:color w:val="4F81BD" w:themeColor="accent1"/>
      <w:sz w:val="24"/>
      <w:szCs w:val="24"/>
    </w:rPr>
  </w:style>
  <w:style w:type="paragraph" w:styleId="4">
    <w:name w:val="Heading 4"/>
    <w:basedOn w:val="Normal"/>
    <w:next w:val="Style14"/>
    <w:uiPriority w:val="9"/>
    <w:unhideWhenUsed/>
    <w:qFormat/>
    <w:pPr>
      <w:keepNext w:val="true"/>
      <w:keepLines/>
      <w:spacing w:before="200" w:after="0"/>
      <w:outlineLvl w:val="3"/>
    </w:pPr>
    <w:rPr>
      <w:rFonts w:ascii="Calibri" w:hAnsi="Calibri" w:eastAsia="" w:cs="宋体" w:asciiTheme="majorHAnsi" w:cstheme="majorBidi" w:eastAsiaTheme="majorEastAsia" w:hAnsiTheme="majorHAnsi"/>
      <w:bCs/>
      <w:i/>
      <w:color w:val="4F81BD" w:themeColor="accent1"/>
      <w:sz w:val="24"/>
      <w:szCs w:val="24"/>
    </w:rPr>
  </w:style>
  <w:style w:type="paragraph" w:styleId="5">
    <w:name w:val="Heading 5"/>
    <w:basedOn w:val="Normal"/>
    <w:next w:val="Style14"/>
    <w:uiPriority w:val="9"/>
    <w:unhideWhenUsed/>
    <w:qFormat/>
    <w:pPr>
      <w:keepNext w:val="true"/>
      <w:keepLines/>
      <w:spacing w:before="200" w:after="0"/>
      <w:outlineLvl w:val="4"/>
    </w:pPr>
    <w:rPr>
      <w:rFonts w:ascii="Calibri" w:hAnsi="Calibri" w:eastAsia="" w:cs="宋体" w:asciiTheme="majorHAnsi" w:cstheme="majorBidi" w:eastAsiaTheme="majorEastAsia" w:hAnsiTheme="majorHAnsi"/>
      <w:iCs/>
      <w:color w:val="4F81BD" w:themeColor="accent1"/>
      <w:sz w:val="24"/>
      <w:szCs w:val="24"/>
    </w:rPr>
  </w:style>
  <w:style w:type="paragraph" w:styleId="6">
    <w:name w:val="Heading 6"/>
    <w:basedOn w:val="Normal"/>
    <w:next w:val="Style14"/>
    <w:uiPriority w:val="9"/>
    <w:unhideWhenUsed/>
    <w:qFormat/>
    <w:pPr>
      <w:keepNext w:val="true"/>
      <w:keepLines/>
      <w:spacing w:before="200" w:after="0"/>
      <w:outlineLvl w:val="5"/>
    </w:pPr>
    <w:rPr>
      <w:rFonts w:ascii="Calibri" w:hAnsi="Calibri" w:eastAsia="" w:cs="宋体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7">
    <w:name w:val="Heading 7"/>
    <w:basedOn w:val="Normal"/>
    <w:next w:val="Style14"/>
    <w:uiPriority w:val="9"/>
    <w:unhideWhenUsed/>
    <w:qFormat/>
    <w:pPr>
      <w:keepNext w:val="true"/>
      <w:keepLines/>
      <w:spacing w:before="200" w:after="0"/>
      <w:outlineLvl w:val="6"/>
    </w:pPr>
    <w:rPr>
      <w:rFonts w:ascii="Calibri" w:hAnsi="Calibri" w:eastAsia="" w:cs="宋体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8">
    <w:name w:val="Heading 8"/>
    <w:basedOn w:val="Normal"/>
    <w:next w:val="Style14"/>
    <w:uiPriority w:val="9"/>
    <w:unhideWhenUsed/>
    <w:qFormat/>
    <w:pPr>
      <w:keepNext w:val="true"/>
      <w:keepLines/>
      <w:spacing w:before="200" w:after="0"/>
      <w:outlineLvl w:val="7"/>
    </w:pPr>
    <w:rPr>
      <w:rFonts w:ascii="Calibri" w:hAnsi="Calibri" w:eastAsia="" w:cs="宋体" w:asciiTheme="majorHAnsi" w:cstheme="majorBidi" w:eastAsiaTheme="majorEastAsia" w:hAnsiTheme="majorHAnsi"/>
      <w:color w:val="4F81BD" w:themeColor="accent1"/>
      <w:sz w:val="24"/>
      <w:szCs w:val="24"/>
    </w:rPr>
  </w:style>
  <w:style w:type="paragraph" w:styleId="9">
    <w:name w:val="Heading 9"/>
    <w:basedOn w:val="Normal"/>
    <w:next w:val="Style14"/>
    <w:uiPriority w:val="9"/>
    <w:unhideWhenUsed/>
    <w:qFormat/>
    <w:pPr>
      <w:keepNext w:val="true"/>
      <w:keepLines/>
      <w:spacing w:before="200" w:after="0"/>
      <w:outlineLvl w:val="8"/>
    </w:pPr>
    <w:rPr>
      <w:rFonts w:ascii="Calibri" w:hAnsi="Calibri" w:eastAsia="" w:cs="宋体" w:asciiTheme="majorHAnsi" w:cstheme="majorBidi" w:eastAsiaTheme="majorEastAsia" w:hAnsiTheme="majorHAnsi"/>
      <w:color w:val="4F81BD" w:themeColor="accent1"/>
      <w:sz w:val="24"/>
      <w:szCs w:val="24"/>
    </w:rPr>
  </w:style>
  <w:style w:type="character" w:styleId="DefaultParagraphFont" w:default="1">
    <w:name w:val="Default Paragraph Font"/>
    <w:uiPriority w:val="0"/>
    <w:semiHidden/>
    <w:unhideWhenUsed/>
    <w:qFormat/>
    <w:rPr>
      <w:rFonts w:eastAsia="宋体"/>
    </w:rPr>
  </w:style>
  <w:style w:type="character" w:styleId="BodyTextChar" w:customStyle="1">
    <w:name w:val="Body Text Char"/>
    <w:basedOn w:val="DefaultParagraphFont"/>
    <w:link w:val="Caption"/>
    <w:uiPriority w:val="0"/>
    <w:qFormat/>
    <w:rPr>
      <w:rFonts w:eastAsia="宋体"/>
    </w:rPr>
  </w:style>
  <w:style w:type="character" w:styleId="VerbatimChar" w:customStyle="1">
    <w:name w:val="Verbatim Char"/>
    <w:basedOn w:val="BodyTextChar"/>
    <w:link w:val="SourceCode"/>
    <w:uiPriority w:val="0"/>
    <w:qFormat/>
    <w:rPr>
      <w:rFonts w:ascii="Consolas" w:hAnsi="Consolas" w:eastAsia="宋体"/>
      <w:sz w:val="22"/>
    </w:rPr>
  </w:style>
  <w:style w:type="character" w:styleId="SectionNumber" w:customStyle="1">
    <w:name w:val="Section Number"/>
    <w:basedOn w:val="BodyTextChar"/>
    <w:uiPriority w:val="0"/>
    <w:qFormat/>
    <w:rPr>
      <w:rFonts w:eastAsia="宋体"/>
    </w:rPr>
  </w:style>
  <w:style w:type="character" w:styleId="Style5" w:customStyle="1">
    <w:name w:val="脚注符"/>
    <w:basedOn w:val="BodyTextChar"/>
    <w:uiPriority w:val="0"/>
    <w:qFormat/>
    <w:rPr>
      <w:rFonts w:eastAsia="宋体"/>
      <w:vertAlign w:val="superscript"/>
    </w:rPr>
  </w:style>
  <w:style w:type="character" w:styleId="Style6" w:customStyle="1">
    <w:name w:val="脚注锚点"/>
    <w:uiPriority w:val="0"/>
    <w:rPr>
      <w:rFonts w:eastAsia="宋体"/>
      <w:vertAlign w:val="superscript"/>
    </w:rPr>
  </w:style>
  <w:style w:type="character" w:styleId="Internet" w:customStyle="1">
    <w:name w:val="Internet 链接"/>
    <w:basedOn w:val="BodyTextChar"/>
    <w:uiPriority w:val="0"/>
    <w:rPr>
      <w:rFonts w:eastAsia="宋体"/>
      <w:color w:val="4F81BD" w:themeColor="accent1"/>
    </w:rPr>
  </w:style>
  <w:style w:type="character" w:styleId="KeywordTok" w:customStyle="1">
    <w:name w:val="KeywordTok"/>
    <w:basedOn w:val="VerbatimChar"/>
    <w:uiPriority w:val="0"/>
    <w:qFormat/>
    <w:rPr>
      <w:rFonts w:eastAsia="宋体"/>
      <w:b/>
      <w:color w:val="007020"/>
    </w:rPr>
  </w:style>
  <w:style w:type="character" w:styleId="DataTypeTok" w:customStyle="1">
    <w:name w:val="DataTypeTok"/>
    <w:basedOn w:val="VerbatimChar"/>
    <w:uiPriority w:val="0"/>
    <w:qFormat/>
    <w:rPr>
      <w:rFonts w:eastAsia="宋体"/>
      <w:color w:val="902000"/>
    </w:rPr>
  </w:style>
  <w:style w:type="character" w:styleId="DecValTok" w:customStyle="1">
    <w:name w:val="DecValTok"/>
    <w:basedOn w:val="VerbatimChar"/>
    <w:uiPriority w:val="0"/>
    <w:qFormat/>
    <w:rPr>
      <w:rFonts w:eastAsia="宋体"/>
      <w:color w:val="40A070"/>
    </w:rPr>
  </w:style>
  <w:style w:type="character" w:styleId="BaseNTok" w:customStyle="1">
    <w:name w:val="BaseNTok"/>
    <w:basedOn w:val="VerbatimChar"/>
    <w:uiPriority w:val="0"/>
    <w:qFormat/>
    <w:rPr>
      <w:rFonts w:eastAsia="宋体"/>
      <w:color w:val="40A070"/>
    </w:rPr>
  </w:style>
  <w:style w:type="character" w:styleId="FloatTok" w:customStyle="1">
    <w:name w:val="FloatTok"/>
    <w:basedOn w:val="VerbatimChar"/>
    <w:uiPriority w:val="0"/>
    <w:qFormat/>
    <w:rPr>
      <w:rFonts w:eastAsia="宋体"/>
      <w:color w:val="40A070"/>
    </w:rPr>
  </w:style>
  <w:style w:type="character" w:styleId="ConstantTok" w:customStyle="1">
    <w:name w:val="ConstantTok"/>
    <w:basedOn w:val="VerbatimChar"/>
    <w:uiPriority w:val="0"/>
    <w:qFormat/>
    <w:rPr>
      <w:rFonts w:eastAsia="宋体"/>
      <w:color w:val="880000"/>
    </w:rPr>
  </w:style>
  <w:style w:type="character" w:styleId="CharTok" w:customStyle="1">
    <w:name w:val="CharTok"/>
    <w:basedOn w:val="VerbatimChar"/>
    <w:uiPriority w:val="0"/>
    <w:qFormat/>
    <w:rPr>
      <w:rFonts w:eastAsia="宋体"/>
      <w:color w:val="4070A0"/>
    </w:rPr>
  </w:style>
  <w:style w:type="character" w:styleId="SpecialCharTok" w:customStyle="1">
    <w:name w:val="SpecialCharTok"/>
    <w:basedOn w:val="VerbatimChar"/>
    <w:uiPriority w:val="0"/>
    <w:qFormat/>
    <w:rPr>
      <w:rFonts w:eastAsia="宋体"/>
      <w:color w:val="4070A0"/>
    </w:rPr>
  </w:style>
  <w:style w:type="character" w:styleId="StringTok" w:customStyle="1">
    <w:name w:val="StringTok"/>
    <w:basedOn w:val="VerbatimChar"/>
    <w:uiPriority w:val="0"/>
    <w:qFormat/>
    <w:rPr>
      <w:rFonts w:eastAsia="宋体"/>
      <w:color w:val="4070A0"/>
    </w:rPr>
  </w:style>
  <w:style w:type="character" w:styleId="VerbatimStringTok" w:customStyle="1">
    <w:name w:val="VerbatimStringTok"/>
    <w:basedOn w:val="VerbatimChar"/>
    <w:uiPriority w:val="0"/>
    <w:qFormat/>
    <w:rPr>
      <w:rFonts w:eastAsia="宋体"/>
      <w:color w:val="4070A0"/>
    </w:rPr>
  </w:style>
  <w:style w:type="character" w:styleId="SpecialStringTok" w:customStyle="1">
    <w:name w:val="SpecialStringTok"/>
    <w:basedOn w:val="VerbatimChar"/>
    <w:uiPriority w:val="0"/>
    <w:qFormat/>
    <w:rPr>
      <w:rFonts w:eastAsia="宋体"/>
      <w:color w:val="BB6688"/>
    </w:rPr>
  </w:style>
  <w:style w:type="character" w:styleId="ImportTok" w:customStyle="1">
    <w:name w:val="ImportTok"/>
    <w:basedOn w:val="VerbatimChar"/>
    <w:uiPriority w:val="0"/>
    <w:qFormat/>
    <w:rPr>
      <w:rFonts w:eastAsia="宋体"/>
      <w:b/>
      <w:color w:val="008000"/>
    </w:rPr>
  </w:style>
  <w:style w:type="character" w:styleId="CommentTok" w:customStyle="1">
    <w:name w:val="CommentTok"/>
    <w:basedOn w:val="VerbatimChar"/>
    <w:uiPriority w:val="0"/>
    <w:qFormat/>
    <w:rPr>
      <w:rFonts w:eastAsia="宋体"/>
      <w:i/>
      <w:color w:val="60A0B0"/>
    </w:rPr>
  </w:style>
  <w:style w:type="character" w:styleId="DocumentationTok" w:customStyle="1">
    <w:name w:val="DocumentationTok"/>
    <w:basedOn w:val="VerbatimChar"/>
    <w:uiPriority w:val="0"/>
    <w:qFormat/>
    <w:rPr>
      <w:rFonts w:eastAsia="宋体"/>
      <w:i/>
      <w:color w:val="BA2121"/>
    </w:rPr>
  </w:style>
  <w:style w:type="character" w:styleId="AnnotationTok" w:customStyle="1">
    <w:name w:val="AnnotationTok"/>
    <w:basedOn w:val="VerbatimChar"/>
    <w:uiPriority w:val="0"/>
    <w:qFormat/>
    <w:rPr>
      <w:rFonts w:eastAsia="宋体"/>
      <w:b/>
      <w:i/>
      <w:color w:val="60A0B0"/>
    </w:rPr>
  </w:style>
  <w:style w:type="character" w:styleId="CommentVarTok" w:customStyle="1">
    <w:name w:val="CommentVarTok"/>
    <w:basedOn w:val="VerbatimChar"/>
    <w:uiPriority w:val="0"/>
    <w:qFormat/>
    <w:rPr>
      <w:rFonts w:eastAsia="宋体"/>
      <w:b/>
      <w:i/>
      <w:color w:val="60A0B0"/>
    </w:rPr>
  </w:style>
  <w:style w:type="character" w:styleId="OtherTok" w:customStyle="1">
    <w:name w:val="OtherTok"/>
    <w:basedOn w:val="VerbatimChar"/>
    <w:uiPriority w:val="0"/>
    <w:qFormat/>
    <w:rPr>
      <w:rFonts w:eastAsia="宋体"/>
      <w:color w:val="007020"/>
    </w:rPr>
  </w:style>
  <w:style w:type="character" w:styleId="FunctionTok" w:customStyle="1">
    <w:name w:val="FunctionTok"/>
    <w:basedOn w:val="VerbatimChar"/>
    <w:uiPriority w:val="0"/>
    <w:qFormat/>
    <w:rPr>
      <w:rFonts w:eastAsia="宋体"/>
      <w:color w:val="06287E"/>
    </w:rPr>
  </w:style>
  <w:style w:type="character" w:styleId="VariableTok" w:customStyle="1">
    <w:name w:val="VariableTok"/>
    <w:basedOn w:val="VerbatimChar"/>
    <w:uiPriority w:val="0"/>
    <w:qFormat/>
    <w:rPr>
      <w:rFonts w:eastAsia="宋体"/>
      <w:color w:val="19177C"/>
    </w:rPr>
  </w:style>
  <w:style w:type="character" w:styleId="ControlFlowTok" w:customStyle="1">
    <w:name w:val="ControlFlowTok"/>
    <w:basedOn w:val="VerbatimChar"/>
    <w:uiPriority w:val="0"/>
    <w:qFormat/>
    <w:rPr>
      <w:rFonts w:eastAsia="宋体"/>
      <w:b/>
      <w:color w:val="007020"/>
    </w:rPr>
  </w:style>
  <w:style w:type="character" w:styleId="OperatorTok" w:customStyle="1">
    <w:name w:val="OperatorTok"/>
    <w:basedOn w:val="VerbatimChar"/>
    <w:uiPriority w:val="0"/>
    <w:qFormat/>
    <w:rPr>
      <w:rFonts w:eastAsia="宋体"/>
      <w:color w:val="666666"/>
    </w:rPr>
  </w:style>
  <w:style w:type="character" w:styleId="BuiltInTok" w:customStyle="1">
    <w:name w:val="BuiltInTok"/>
    <w:basedOn w:val="VerbatimChar"/>
    <w:uiPriority w:val="0"/>
    <w:qFormat/>
    <w:rPr>
      <w:rFonts w:eastAsia="宋体"/>
      <w:color w:val="008000"/>
    </w:rPr>
  </w:style>
  <w:style w:type="character" w:styleId="ExtensionTok" w:customStyle="1">
    <w:name w:val="ExtensionTok"/>
    <w:basedOn w:val="VerbatimChar"/>
    <w:uiPriority w:val="0"/>
    <w:qFormat/>
    <w:rPr>
      <w:rFonts w:eastAsia="宋体"/>
    </w:rPr>
  </w:style>
  <w:style w:type="character" w:styleId="PreprocessorTok" w:customStyle="1">
    <w:name w:val="PreprocessorTok"/>
    <w:basedOn w:val="VerbatimChar"/>
    <w:uiPriority w:val="0"/>
    <w:qFormat/>
    <w:rPr>
      <w:rFonts w:eastAsia="宋体"/>
      <w:color w:val="BC7A00"/>
    </w:rPr>
  </w:style>
  <w:style w:type="character" w:styleId="AttributeTok" w:customStyle="1">
    <w:name w:val="AttributeTok"/>
    <w:basedOn w:val="VerbatimChar"/>
    <w:uiPriority w:val="0"/>
    <w:qFormat/>
    <w:rPr>
      <w:rFonts w:eastAsia="宋体"/>
      <w:color w:val="7D9029"/>
    </w:rPr>
  </w:style>
  <w:style w:type="character" w:styleId="RegionMarkerTok" w:customStyle="1">
    <w:name w:val="RegionMarkerTok"/>
    <w:basedOn w:val="VerbatimChar"/>
    <w:uiPriority w:val="0"/>
    <w:qFormat/>
    <w:rPr>
      <w:rFonts w:eastAsia="宋体"/>
    </w:rPr>
  </w:style>
  <w:style w:type="character" w:styleId="InformationTok" w:customStyle="1">
    <w:name w:val="InformationTok"/>
    <w:basedOn w:val="VerbatimChar"/>
    <w:uiPriority w:val="0"/>
    <w:qFormat/>
    <w:rPr>
      <w:rFonts w:eastAsia="宋体"/>
      <w:b/>
      <w:i/>
      <w:color w:val="60A0B0"/>
    </w:rPr>
  </w:style>
  <w:style w:type="character" w:styleId="WarningTok" w:customStyle="1">
    <w:name w:val="WarningTok"/>
    <w:basedOn w:val="VerbatimChar"/>
    <w:uiPriority w:val="0"/>
    <w:qFormat/>
    <w:rPr>
      <w:rFonts w:eastAsia="宋体"/>
      <w:b/>
      <w:i/>
      <w:color w:val="60A0B0"/>
    </w:rPr>
  </w:style>
  <w:style w:type="character" w:styleId="AlertTok" w:customStyle="1">
    <w:name w:val="AlertTok"/>
    <w:basedOn w:val="VerbatimChar"/>
    <w:uiPriority w:val="0"/>
    <w:qFormat/>
    <w:rPr>
      <w:rFonts w:eastAsia="宋体"/>
      <w:b/>
      <w:color w:val="FF0000"/>
    </w:rPr>
  </w:style>
  <w:style w:type="character" w:styleId="ErrorTok" w:customStyle="1">
    <w:name w:val="ErrorTok"/>
    <w:basedOn w:val="VerbatimChar"/>
    <w:uiPriority w:val="0"/>
    <w:qFormat/>
    <w:rPr>
      <w:rFonts w:eastAsia="宋体"/>
      <w:b/>
      <w:color w:val="FF0000"/>
    </w:rPr>
  </w:style>
  <w:style w:type="character" w:styleId="NormalTok" w:customStyle="1">
    <w:name w:val="NormalTok"/>
    <w:basedOn w:val="VerbatimChar"/>
    <w:uiPriority w:val="0"/>
    <w:qFormat/>
    <w:rPr>
      <w:rFonts w:eastAsia="宋体"/>
    </w:rPr>
  </w:style>
  <w:style w:type="character" w:styleId="Style7" w:customStyle="1">
    <w:name w:val="源文本"/>
    <w:uiPriority w:val="0"/>
    <w:qFormat/>
    <w:rPr>
      <w:rFonts w:ascii="Liberation Mono" w:hAnsi="Liberation Mono" w:eastAsia="Liberation Mono" w:cs="Liberation Mono"/>
    </w:rPr>
  </w:style>
  <w:style w:type="character" w:styleId="Style8" w:customStyle="1">
    <w:name w:val="尾注锚点"/>
    <w:uiPriority w:val="0"/>
    <w:rPr>
      <w:vertAlign w:val="superscript"/>
    </w:rPr>
  </w:style>
  <w:style w:type="character" w:styleId="Style9" w:customStyle="1">
    <w:name w:val="尾注符"/>
    <w:uiPriority w:val="0"/>
    <w:qFormat/>
    <w:rPr/>
  </w:style>
  <w:style w:type="character" w:styleId="Style10" w:customStyle="1">
    <w:name w:val="特别强调"/>
    <w:uiPriority w:val="0"/>
    <w:qFormat/>
    <w:rPr>
      <w:b/>
      <w:bCs/>
    </w:rPr>
  </w:style>
  <w:style w:type="character" w:styleId="Style11" w:customStyle="1">
    <w:name w:val="项目符号"/>
    <w:uiPriority w:val="0"/>
    <w:qFormat/>
    <w:rPr>
      <w:rFonts w:ascii="OpenSymbol" w:hAnsi="OpenSymbol" w:eastAsia="OpenSymbol" w:cs="OpenSymbol"/>
    </w:rPr>
  </w:style>
  <w:style w:type="character" w:styleId="Style12" w:customStyle="1">
    <w:name w:val="编号符号"/>
    <w:uiPriority w:val="0"/>
    <w:qFormat/>
    <w:rPr/>
  </w:style>
  <w:style w:type="paragraph" w:styleId="Style13" w:customStyle="1">
    <w:name w:val="标题样式"/>
    <w:basedOn w:val="Normal"/>
    <w:next w:val="Style14"/>
    <w:uiPriority w:val="0"/>
    <w:qFormat/>
    <w:pPr>
      <w:keepNext w:val="true"/>
      <w:spacing w:before="240" w:after="120"/>
    </w:pPr>
    <w:rPr>
      <w:rFonts w:ascii="Liberation Sans" w:hAnsi="Liberation Sans" w:eastAsia="Noto Sans CJK SC" w:cs="Noto Sans CJK SC"/>
      <w:sz w:val="28"/>
      <w:szCs w:val="28"/>
    </w:rPr>
  </w:style>
  <w:style w:type="paragraph" w:styleId="Style14">
    <w:name w:val="Body Text"/>
    <w:basedOn w:val="Normal"/>
    <w:link w:val="BodyTextChar"/>
    <w:uiPriority w:val="0"/>
    <w:qFormat/>
    <w:pPr>
      <w:spacing w:before="180" w:after="180"/>
    </w:pPr>
    <w:rPr>
      <w:rFonts w:eastAsia="宋体"/>
    </w:rPr>
  </w:style>
  <w:style w:type="paragraph" w:styleId="Style15">
    <w:name w:val="List"/>
    <w:basedOn w:val="Style14"/>
    <w:uiPriority w:val="0"/>
    <w:pPr/>
    <w:rPr>
      <w:rFonts w:cs="Noto Sans CJK SC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Noto Sans CJK SC"/>
      <w:i/>
      <w:iCs/>
      <w:sz w:val="24"/>
      <w:szCs w:val="24"/>
    </w:rPr>
  </w:style>
  <w:style w:type="paragraph" w:styleId="Style17" w:customStyle="1">
    <w:name w:val="索引"/>
    <w:basedOn w:val="Normal"/>
    <w:uiPriority w:val="0"/>
    <w:qFormat/>
    <w:pPr>
      <w:suppressLineNumbers/>
    </w:pPr>
    <w:rPr>
      <w:rFonts w:cs="Noto Sans CJK SC"/>
    </w:rPr>
  </w:style>
  <w:style w:type="paragraph" w:styleId="Caption">
    <w:name w:val="caption"/>
    <w:basedOn w:val="Normal"/>
    <w:link w:val="BodyTextChar"/>
    <w:uiPriority w:val="0"/>
    <w:qFormat/>
    <w:pPr>
      <w:spacing w:before="0" w:after="120"/>
    </w:pPr>
    <w:rPr>
      <w:rFonts w:eastAsia="宋体"/>
      <w:i/>
    </w:rPr>
  </w:style>
  <w:style w:type="paragraph" w:styleId="BlockText">
    <w:name w:val="Block Text"/>
    <w:basedOn w:val="Style14"/>
    <w:next w:val="Style14"/>
    <w:uiPriority w:val="9"/>
    <w:unhideWhenUsed/>
    <w:qFormat/>
    <w:pPr>
      <w:spacing w:before="100" w:after="100"/>
      <w:ind w:left="480" w:right="480" w:hanging="0"/>
    </w:pPr>
    <w:rPr>
      <w:rFonts w:eastAsia="宋体"/>
    </w:rPr>
  </w:style>
  <w:style w:type="paragraph" w:styleId="Date">
    <w:name w:val="Date"/>
    <w:next w:val="Style14"/>
    <w:uiPriority w:val="0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Cambria" w:hAnsi="Cambria" w:eastAsia="宋体" w:cs="宋体" w:asciiTheme="minorHAnsi" w:cstheme="minorBidi" w:hAnsiTheme="minorHAnsi"/>
      <w:color w:val="auto"/>
      <w:kern w:val="0"/>
      <w:sz w:val="24"/>
      <w:szCs w:val="24"/>
      <w:lang w:val="en-US" w:eastAsia="en-US" w:bidi="ar-SA"/>
    </w:rPr>
  </w:style>
  <w:style w:type="paragraph" w:styleId="Style18" w:customStyle="1">
    <w:name w:val="页眉与页脚"/>
    <w:basedOn w:val="Normal"/>
    <w:uiPriority w:val="0"/>
    <w:qFormat/>
    <w:pPr/>
    <w:rPr/>
  </w:style>
  <w:style w:type="paragraph" w:styleId="Style19">
    <w:name w:val="Footer"/>
    <w:basedOn w:val="Style18"/>
    <w:uiPriority w:val="0"/>
    <w:qFormat/>
    <w:pPr/>
    <w:rPr/>
  </w:style>
  <w:style w:type="paragraph" w:styleId="Indexheading">
    <w:name w:val="index heading"/>
    <w:basedOn w:val="Style13"/>
    <w:uiPriority w:val="0"/>
    <w:qFormat/>
    <w:pPr/>
    <w:rPr/>
  </w:style>
  <w:style w:type="paragraph" w:styleId="Style20">
    <w:name w:val="Subtitle"/>
    <w:basedOn w:val="Style21"/>
    <w:next w:val="Style14"/>
    <w:uiPriority w:val="0"/>
    <w:qFormat/>
    <w:pPr>
      <w:keepNext w:val="true"/>
      <w:keepLines/>
      <w:spacing w:before="240" w:after="240"/>
      <w:jc w:val="center"/>
    </w:pPr>
    <w:rPr>
      <w:rFonts w:eastAsia="黑体"/>
      <w:sz w:val="30"/>
      <w:szCs w:val="30"/>
    </w:rPr>
  </w:style>
  <w:style w:type="paragraph" w:styleId="Style21">
    <w:name w:val="Title"/>
    <w:basedOn w:val="Normal"/>
    <w:next w:val="Style14"/>
    <w:uiPriority w:val="0"/>
    <w:qFormat/>
    <w:pPr>
      <w:keepNext w:val="true"/>
      <w:keepLines/>
      <w:spacing w:before="480" w:after="240"/>
      <w:jc w:val="center"/>
    </w:pPr>
    <w:rPr>
      <w:rFonts w:ascii="Calibri" w:hAnsi="Calibri" w:eastAsia="" w:cs="宋体" w:asciiTheme="majorHAnsi" w:cstheme="majorBidi" w:eastAsiaTheme="majorEastAsia" w:hAnsiTheme="majorHAnsi"/>
      <w:b/>
      <w:bCs/>
      <w:color w:val="335B8A" w:themeColor="accent1" w:themeShade="b5"/>
      <w:sz w:val="36"/>
      <w:szCs w:val="36"/>
    </w:rPr>
  </w:style>
  <w:style w:type="paragraph" w:styleId="Style22">
    <w:name w:val="Footnote Text"/>
    <w:basedOn w:val="Normal"/>
    <w:uiPriority w:val="9"/>
    <w:unhideWhenUsed/>
    <w:qFormat/>
    <w:pPr>
      <w:spacing w:lineRule="exact" w:line="200" w:before="0" w:after="0"/>
    </w:pPr>
    <w:rPr>
      <w:rFonts w:eastAsia="宋体"/>
      <w:sz w:val="18"/>
      <w:szCs w:val="18"/>
    </w:rPr>
  </w:style>
  <w:style w:type="paragraph" w:styleId="SourceCode" w:customStyle="1">
    <w:name w:val="Source Code"/>
    <w:basedOn w:val="Normal"/>
    <w:link w:val="VerbatimChar"/>
    <w:uiPriority w:val="0"/>
    <w:qFormat/>
    <w:pPr/>
    <w:rPr>
      <w:rFonts w:eastAsia="宋体"/>
    </w:rPr>
  </w:style>
  <w:style w:type="paragraph" w:styleId="FirstParagraph" w:customStyle="1">
    <w:name w:val="First Paragraph"/>
    <w:basedOn w:val="Style14"/>
    <w:next w:val="Style14"/>
    <w:uiPriority w:val="0"/>
    <w:qFormat/>
    <w:pPr/>
    <w:rPr>
      <w:rFonts w:eastAsia="宋体"/>
    </w:rPr>
  </w:style>
  <w:style w:type="paragraph" w:styleId="Compact" w:customStyle="1">
    <w:name w:val="Compact"/>
    <w:basedOn w:val="Style14"/>
    <w:uiPriority w:val="0"/>
    <w:qFormat/>
    <w:pPr>
      <w:spacing w:before="36" w:after="36"/>
    </w:pPr>
    <w:rPr>
      <w:rFonts w:eastAsia="宋体"/>
    </w:rPr>
  </w:style>
  <w:style w:type="paragraph" w:styleId="Author" w:customStyle="1">
    <w:name w:val="Author"/>
    <w:next w:val="Style14"/>
    <w:uiPriority w:val="0"/>
    <w:qFormat/>
    <w:pPr>
      <w:keepNext w:val="true"/>
      <w:keepLines/>
      <w:widowControl/>
      <w:suppressAutoHyphens w:val="true"/>
      <w:bidi w:val="0"/>
      <w:spacing w:before="0" w:after="200"/>
      <w:jc w:val="center"/>
    </w:pPr>
    <w:rPr>
      <w:rFonts w:ascii="Cambria" w:hAnsi="Cambria" w:eastAsia="宋体" w:cs="宋体" w:asciiTheme="minorHAnsi" w:cstheme="minorBidi" w:hAnsiTheme="minorHAnsi"/>
      <w:color w:val="auto"/>
      <w:kern w:val="0"/>
      <w:sz w:val="24"/>
      <w:szCs w:val="24"/>
      <w:lang w:val="en-US" w:eastAsia="en-US" w:bidi="ar-SA"/>
    </w:rPr>
  </w:style>
  <w:style w:type="paragraph" w:styleId="Abstract" w:customStyle="1">
    <w:name w:val="Abstract"/>
    <w:basedOn w:val="Normal"/>
    <w:next w:val="Style14"/>
    <w:uiPriority w:val="0"/>
    <w:qFormat/>
    <w:pPr>
      <w:keepNext w:val="true"/>
      <w:keepLines/>
      <w:spacing w:before="300" w:after="300"/>
    </w:pPr>
    <w:rPr>
      <w:rFonts w:eastAsia="宋体"/>
      <w:sz w:val="20"/>
      <w:szCs w:val="20"/>
    </w:rPr>
  </w:style>
  <w:style w:type="paragraph" w:styleId="Bibliography" w:customStyle="1">
    <w:name w:val="Bibliography"/>
    <w:basedOn w:val="Normal"/>
    <w:uiPriority w:val="0"/>
    <w:qFormat/>
    <w:pPr/>
    <w:rPr>
      <w:rFonts w:eastAsia="宋体"/>
    </w:rPr>
  </w:style>
  <w:style w:type="paragraph" w:styleId="DefinitionTerm" w:customStyle="1">
    <w:name w:val="Definition Term"/>
    <w:basedOn w:val="Normal"/>
    <w:next w:val="Definition"/>
    <w:uiPriority w:val="0"/>
    <w:qFormat/>
    <w:pPr>
      <w:keepNext w:val="true"/>
      <w:keepLines/>
      <w:spacing w:before="0" w:after="0"/>
    </w:pPr>
    <w:rPr>
      <w:rFonts w:eastAsia="宋体"/>
      <w:b/>
    </w:rPr>
  </w:style>
  <w:style w:type="paragraph" w:styleId="Definition" w:customStyle="1">
    <w:name w:val="Definition"/>
    <w:basedOn w:val="Normal"/>
    <w:uiPriority w:val="0"/>
    <w:qFormat/>
    <w:pPr/>
    <w:rPr>
      <w:rFonts w:eastAsia="宋体"/>
    </w:rPr>
  </w:style>
  <w:style w:type="paragraph" w:styleId="TableCaption" w:customStyle="1">
    <w:name w:val="Table Caption"/>
    <w:basedOn w:val="Caption"/>
    <w:uiPriority w:val="0"/>
    <w:qFormat/>
    <w:pPr>
      <w:keepNext w:val="true"/>
    </w:pPr>
    <w:rPr>
      <w:rFonts w:eastAsia="宋体"/>
    </w:rPr>
  </w:style>
  <w:style w:type="paragraph" w:styleId="ImageCaption" w:customStyle="1">
    <w:name w:val="Image Caption"/>
    <w:basedOn w:val="Caption"/>
    <w:uiPriority w:val="0"/>
    <w:qFormat/>
    <w:pPr/>
    <w:rPr>
      <w:rFonts w:eastAsia="宋体"/>
    </w:rPr>
  </w:style>
  <w:style w:type="paragraph" w:styleId="Style23" w:customStyle="1">
    <w:name w:val="图示"/>
    <w:basedOn w:val="Normal"/>
    <w:uiPriority w:val="0"/>
    <w:qFormat/>
    <w:pPr/>
    <w:rPr>
      <w:rFonts w:eastAsia="宋体"/>
    </w:rPr>
  </w:style>
  <w:style w:type="paragraph" w:styleId="CaptionedFigure" w:customStyle="1">
    <w:name w:val="Captioned Figure"/>
    <w:basedOn w:val="Style23"/>
    <w:uiPriority w:val="0"/>
    <w:qFormat/>
    <w:pPr>
      <w:keepNext w:val="true"/>
    </w:pPr>
    <w:rPr>
      <w:rFonts w:eastAsia="宋体"/>
    </w:rPr>
  </w:style>
  <w:style w:type="paragraph" w:styleId="Style24">
    <w:name w:val="Index Heading"/>
    <w:basedOn w:val="Style13"/>
    <w:pPr/>
    <w:rPr/>
  </w:style>
  <w:style w:type="paragraph" w:styleId="Style25" w:customStyle="1">
    <w:name w:val="TOC Heading"/>
    <w:basedOn w:val="1"/>
    <w:next w:val="Style14"/>
    <w:uiPriority w:val="39"/>
    <w:unhideWhenUsed/>
    <w:qFormat/>
    <w:pPr>
      <w:spacing w:lineRule="auto" w:line="259" w:before="240" w:after="0"/>
      <w:outlineLvl w:val="9"/>
    </w:pPr>
    <w:rPr>
      <w:rFonts w:ascii="Calibri" w:hAnsi="Calibri" w:eastAsia="" w:cs="宋体" w:asciiTheme="majorHAnsi" w:cstheme="majorBidi" w:eastAsiaTheme="majorEastAsia" w:hAnsiTheme="majorHAnsi"/>
      <w:b w:val="false"/>
      <w:bCs w:val="false"/>
      <w:color w:val="366091" w:themeColor="accent1" w:themeShade="bf"/>
    </w:rPr>
  </w:style>
  <w:style w:type="table" w:default="1" w:styleId="23">
    <w:name w:val="Normal Table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Table"/>
    <w:uiPriority w:val="0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color="auto" w:sz="0" w:space="0"/>
        </w:tcBorders>
        <w:vAlign w:val="bottom"/>
      </w:tcPr>
    </w:tblStyle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oter" Target="footer1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Application>LibreOffice/7.3.7.2$Linux_X86_64 LibreOffice_project/30$Build-2</Application>
  <AppVersion>15.0000</AppVersion>
  <Pages>8</Pages>
  <Words>3959</Words>
  <Characters>5466</Characters>
  <CharactersWithSpaces>5836</CharactersWithSpaces>
  <Paragraphs>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2026-09-22T05:24:00Z</dcterms:created>
  <dc:creator>高博远</dc:creator>
  <dc:description/>
  <dc:language>zh-CN</dc:language>
  <cp:lastModifiedBy/>
  <dcterms:modified xsi:type="dcterms:W3CDTF">2026-09-23T10:14:20Z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A25ADF7E236B40F780B0B321638543D0_13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eyJoZGlkIjoiNzYwOWIxMzEzNzIxOWU2YmQzY2UxNWNhY2ExNTRiMjgiLCJ1c2VySWQiOiIyNTk5NjE3NjkifQ==</vt:lpwstr>
  </property>
</Properties>
</file>